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34CD543D" w:rsidR="001439ED" w:rsidRPr="009D3D32" w:rsidRDefault="009D3D32" w:rsidP="0098705B">
            <w:pPr>
              <w:shd w:val="clear" w:color="auto" w:fill="FFFFFF"/>
              <w:spacing w:after="0" w:line="240" w:lineRule="auto"/>
              <w:ind w:left="-86" w:right="-115"/>
              <w:jc w:val="center"/>
              <w:rPr>
                <w:rFonts w:ascii="Times New Roman" w:hAnsi="Times New Roman"/>
                <w:b/>
                <w:sz w:val="20"/>
              </w:rPr>
            </w:pPr>
            <w:r w:rsidRPr="009D3D32">
              <w:rPr>
                <w:rFonts w:asciiTheme="majorBidi" w:hAnsiTheme="majorBidi" w:cstheme="majorBidi"/>
                <w:b/>
                <w:bCs/>
                <w:sz w:val="20"/>
                <w:szCs w:val="20"/>
              </w:rPr>
              <w:t xml:space="preserve">Rise in Blood Pressure before Surgery for Postponement </w:t>
            </w:r>
          </w:p>
        </w:tc>
      </w:tr>
    </w:tbl>
    <w:p w14:paraId="08114BA2" w14:textId="55A27A13" w:rsidR="001439ED" w:rsidRPr="00D82C53" w:rsidRDefault="009C668F"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D82C53">
        <w:rPr>
          <w:rFonts w:asciiTheme="majorBidi" w:hAnsiTheme="majorBidi" w:cstheme="majorBidi"/>
          <w:b/>
          <w:bCs/>
          <w:sz w:val="40"/>
          <w:szCs w:val="20"/>
        </w:rPr>
        <w:t xml:space="preserve">Is Pre-Operative Acute Rise in Blood Pressure before Eye and ENT Surgery A Genuine Excuse for Postponement of the </w:t>
      </w:r>
      <w:r w:rsidR="00972B71">
        <w:rPr>
          <w:rFonts w:asciiTheme="majorBidi" w:hAnsiTheme="majorBidi" w:cstheme="majorBidi"/>
          <w:b/>
          <w:bCs/>
          <w:sz w:val="40"/>
          <w:szCs w:val="20"/>
        </w:rPr>
        <w:br/>
      </w:r>
      <w:r w:rsidRPr="00D82C53">
        <w:rPr>
          <w:rFonts w:asciiTheme="majorBidi" w:hAnsiTheme="majorBidi" w:cstheme="majorBidi"/>
          <w:b/>
          <w:bCs/>
          <w:sz w:val="40"/>
          <w:szCs w:val="20"/>
        </w:rPr>
        <w:t>Procedures?</w:t>
      </w:r>
    </w:p>
    <w:p w14:paraId="1A8F300A" w14:textId="71C16D20" w:rsidR="006E470D" w:rsidRPr="00E0025D" w:rsidRDefault="00EC27D4" w:rsidP="00D762F1">
      <w:pPr>
        <w:shd w:val="clear" w:color="auto" w:fill="FFFFFF"/>
        <w:spacing w:after="0" w:line="240" w:lineRule="auto"/>
        <w:jc w:val="center"/>
        <w:rPr>
          <w:rFonts w:ascii="Times New Roman" w:hAnsi="Times New Roman"/>
          <w:b/>
          <w:bCs/>
          <w:sz w:val="24"/>
        </w:rPr>
      </w:pPr>
      <w:r w:rsidRPr="00E0025D">
        <w:rPr>
          <w:rFonts w:asciiTheme="majorBidi" w:hAnsiTheme="majorBidi" w:cstheme="majorBidi"/>
          <w:b/>
          <w:bCs/>
          <w:sz w:val="24"/>
          <w:szCs w:val="20"/>
        </w:rPr>
        <w:t xml:space="preserve">Mohammad </w:t>
      </w:r>
      <w:proofErr w:type="spellStart"/>
      <w:r w:rsidRPr="00E0025D">
        <w:rPr>
          <w:rFonts w:asciiTheme="majorBidi" w:hAnsiTheme="majorBidi" w:cstheme="majorBidi"/>
          <w:b/>
          <w:bCs/>
          <w:sz w:val="24"/>
          <w:szCs w:val="20"/>
        </w:rPr>
        <w:t>Mohsin</w:t>
      </w:r>
      <w:proofErr w:type="spellEnd"/>
      <w:r w:rsidRPr="00E0025D">
        <w:rPr>
          <w:rFonts w:asciiTheme="majorBidi" w:hAnsiTheme="majorBidi" w:cstheme="majorBidi"/>
          <w:b/>
          <w:bCs/>
          <w:sz w:val="24"/>
          <w:szCs w:val="20"/>
        </w:rPr>
        <w:t xml:space="preserve"> Rana</w:t>
      </w:r>
      <w:r w:rsidR="00A75D74" w:rsidRPr="00A75D74">
        <w:rPr>
          <w:rFonts w:asciiTheme="majorBidi" w:hAnsiTheme="majorBidi" w:cstheme="majorBidi"/>
          <w:b/>
          <w:bCs/>
          <w:sz w:val="24"/>
          <w:szCs w:val="20"/>
          <w:vertAlign w:val="superscript"/>
        </w:rPr>
        <w:t>1</w:t>
      </w:r>
      <w:r w:rsidR="00A75D74">
        <w:rPr>
          <w:rFonts w:asciiTheme="majorBidi" w:hAnsiTheme="majorBidi" w:cstheme="majorBidi"/>
          <w:b/>
          <w:bCs/>
          <w:sz w:val="24"/>
          <w:szCs w:val="20"/>
        </w:rPr>
        <w:t>,</w:t>
      </w:r>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Sajid</w:t>
      </w:r>
      <w:proofErr w:type="spellEnd"/>
      <w:r w:rsidRPr="00E0025D">
        <w:rPr>
          <w:rFonts w:asciiTheme="majorBidi" w:hAnsiTheme="majorBidi" w:cstheme="majorBidi"/>
          <w:b/>
          <w:bCs/>
          <w:sz w:val="24"/>
          <w:szCs w:val="20"/>
        </w:rPr>
        <w:t xml:space="preserve"> Rashid</w:t>
      </w:r>
      <w:r w:rsidR="00D762F1">
        <w:rPr>
          <w:rFonts w:asciiTheme="majorBidi" w:hAnsiTheme="majorBidi" w:cstheme="majorBidi"/>
          <w:b/>
          <w:bCs/>
          <w:sz w:val="24"/>
          <w:szCs w:val="20"/>
        </w:rPr>
        <w:t xml:space="preserve"> </w:t>
      </w:r>
      <w:r w:rsidR="00D762F1" w:rsidRPr="00D762F1">
        <w:rPr>
          <w:rFonts w:asciiTheme="majorBidi" w:hAnsiTheme="majorBidi" w:cstheme="majorBidi"/>
          <w:b/>
          <w:bCs/>
          <w:sz w:val="24"/>
          <w:szCs w:val="20"/>
        </w:rPr>
        <w:t>Nagra</w:t>
      </w:r>
      <w:r w:rsidR="00E537C4">
        <w:rPr>
          <w:rFonts w:asciiTheme="majorBidi" w:hAnsiTheme="majorBidi" w:cstheme="majorBidi"/>
          <w:b/>
          <w:bCs/>
          <w:sz w:val="24"/>
          <w:szCs w:val="20"/>
          <w:vertAlign w:val="superscript"/>
        </w:rPr>
        <w:t>2</w:t>
      </w:r>
      <w:r w:rsidR="00013492">
        <w:rPr>
          <w:rFonts w:asciiTheme="majorBidi" w:hAnsiTheme="majorBidi" w:cstheme="majorBidi"/>
          <w:b/>
          <w:bCs/>
          <w:sz w:val="24"/>
          <w:szCs w:val="20"/>
        </w:rPr>
        <w:t>,</w:t>
      </w:r>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Zafar</w:t>
      </w:r>
      <w:proofErr w:type="spellEnd"/>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Latif</w:t>
      </w:r>
      <w:proofErr w:type="spellEnd"/>
      <w:r w:rsidRPr="00E0025D">
        <w:rPr>
          <w:rFonts w:asciiTheme="majorBidi" w:hAnsiTheme="majorBidi" w:cstheme="majorBidi"/>
          <w:b/>
          <w:bCs/>
          <w:sz w:val="24"/>
          <w:szCs w:val="20"/>
        </w:rPr>
        <w:t xml:space="preserve"> Awan</w:t>
      </w:r>
      <w:r w:rsidR="00D313B2">
        <w:rPr>
          <w:rFonts w:asciiTheme="majorBidi" w:hAnsiTheme="majorBidi" w:cstheme="majorBidi"/>
          <w:b/>
          <w:bCs/>
          <w:sz w:val="24"/>
          <w:szCs w:val="20"/>
          <w:vertAlign w:val="superscript"/>
        </w:rPr>
        <w:t>3</w:t>
      </w:r>
      <w:r w:rsidR="00E537C4">
        <w:rPr>
          <w:rFonts w:asciiTheme="majorBidi" w:hAnsiTheme="majorBidi" w:cstheme="majorBidi"/>
          <w:b/>
          <w:bCs/>
          <w:sz w:val="24"/>
          <w:szCs w:val="20"/>
        </w:rPr>
        <w:t>,</w:t>
      </w:r>
      <w:r w:rsidRPr="00E0025D">
        <w:rPr>
          <w:rFonts w:asciiTheme="majorBidi" w:hAnsiTheme="majorBidi" w:cstheme="majorBidi"/>
          <w:b/>
          <w:bCs/>
          <w:sz w:val="24"/>
          <w:szCs w:val="20"/>
        </w:rPr>
        <w:t xml:space="preserve"> Danish Gani</w:t>
      </w:r>
      <w:r w:rsidR="009222C0">
        <w:rPr>
          <w:rFonts w:asciiTheme="majorBidi" w:hAnsiTheme="majorBidi" w:cstheme="majorBidi"/>
          <w:b/>
          <w:bCs/>
          <w:sz w:val="24"/>
          <w:szCs w:val="20"/>
          <w:vertAlign w:val="superscript"/>
        </w:rPr>
        <w:t>4</w:t>
      </w:r>
      <w:r w:rsidR="00D313B2">
        <w:rPr>
          <w:rFonts w:asciiTheme="majorBidi" w:hAnsiTheme="majorBidi" w:cstheme="majorBidi"/>
          <w:b/>
          <w:bCs/>
          <w:sz w:val="24"/>
          <w:szCs w:val="20"/>
        </w:rPr>
        <w:t>,</w:t>
      </w:r>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Zafar</w:t>
      </w:r>
      <w:proofErr w:type="spellEnd"/>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Iqbal</w:t>
      </w:r>
      <w:proofErr w:type="spellEnd"/>
      <w:r w:rsidRPr="00E0025D">
        <w:rPr>
          <w:rFonts w:asciiTheme="majorBidi" w:hAnsiTheme="majorBidi" w:cstheme="majorBidi"/>
          <w:b/>
          <w:bCs/>
          <w:sz w:val="24"/>
          <w:szCs w:val="20"/>
        </w:rPr>
        <w:t xml:space="preserve"> Zafar</w:t>
      </w:r>
      <w:r w:rsidR="00BF25F9">
        <w:rPr>
          <w:rFonts w:asciiTheme="majorBidi" w:hAnsiTheme="majorBidi" w:cstheme="majorBidi"/>
          <w:b/>
          <w:bCs/>
          <w:sz w:val="24"/>
          <w:szCs w:val="20"/>
          <w:vertAlign w:val="superscript"/>
        </w:rPr>
        <w:t>4</w:t>
      </w:r>
      <w:r w:rsidRPr="00E0025D">
        <w:rPr>
          <w:rFonts w:asciiTheme="majorBidi" w:hAnsiTheme="majorBidi" w:cstheme="majorBidi"/>
          <w:b/>
          <w:bCs/>
          <w:sz w:val="24"/>
          <w:szCs w:val="20"/>
        </w:rPr>
        <w:t xml:space="preserve"> </w:t>
      </w:r>
      <w:r w:rsidR="004E1259">
        <w:rPr>
          <w:rFonts w:asciiTheme="majorBidi" w:hAnsiTheme="majorBidi" w:cstheme="majorBidi"/>
          <w:b/>
          <w:bCs/>
          <w:sz w:val="24"/>
          <w:szCs w:val="20"/>
        </w:rPr>
        <w:t>and</w:t>
      </w:r>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Khawaja</w:t>
      </w:r>
      <w:proofErr w:type="spellEnd"/>
      <w:r w:rsidRPr="00E0025D">
        <w:rPr>
          <w:rFonts w:asciiTheme="majorBidi" w:hAnsiTheme="majorBidi" w:cstheme="majorBidi"/>
          <w:b/>
          <w:bCs/>
          <w:sz w:val="24"/>
          <w:szCs w:val="20"/>
        </w:rPr>
        <w:t xml:space="preserve"> </w:t>
      </w:r>
      <w:proofErr w:type="spellStart"/>
      <w:r w:rsidRPr="00E0025D">
        <w:rPr>
          <w:rFonts w:asciiTheme="majorBidi" w:hAnsiTheme="majorBidi" w:cstheme="majorBidi"/>
          <w:b/>
          <w:bCs/>
          <w:sz w:val="24"/>
          <w:szCs w:val="20"/>
        </w:rPr>
        <w:t>Ishfaq</w:t>
      </w:r>
      <w:proofErr w:type="spellEnd"/>
      <w:r w:rsidRPr="00E0025D">
        <w:rPr>
          <w:rFonts w:asciiTheme="majorBidi" w:hAnsiTheme="majorBidi" w:cstheme="majorBidi"/>
          <w:b/>
          <w:bCs/>
          <w:sz w:val="24"/>
          <w:szCs w:val="20"/>
        </w:rPr>
        <w:t xml:space="preserve"> Ahmed</w:t>
      </w:r>
      <w:r w:rsidR="00A75D74" w:rsidRPr="00A75D74">
        <w:rPr>
          <w:rFonts w:asciiTheme="majorBidi" w:hAnsiTheme="majorBidi" w:cstheme="majorBidi"/>
          <w:b/>
          <w:bCs/>
          <w:sz w:val="24"/>
          <w:szCs w:val="20"/>
          <w:vertAlign w:val="superscript"/>
        </w:rPr>
        <w:t>1</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10496110"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C95BEC">
        <w:rPr>
          <w:rFonts w:ascii="Times New Roman" w:hAnsi="Times New Roman"/>
          <w:b/>
          <w:sz w:val="20"/>
        </w:rPr>
        <w:t xml:space="preserve"> </w:t>
      </w:r>
      <w:r w:rsidR="00C95BEC" w:rsidRPr="00784C4F">
        <w:rPr>
          <w:rFonts w:asciiTheme="majorBidi" w:hAnsiTheme="majorBidi" w:cstheme="majorBidi"/>
          <w:bCs/>
          <w:sz w:val="20"/>
          <w:szCs w:val="20"/>
        </w:rPr>
        <w:t>This study was carried out to alleviate the unnecessary taboos attached to it by studying the incidence and outcome of this unexpected finding.</w:t>
      </w:r>
    </w:p>
    <w:p w14:paraId="57082119" w14:textId="158A83AD"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680D8B">
        <w:rPr>
          <w:rFonts w:ascii="Times New Roman" w:hAnsi="Times New Roman"/>
          <w:b/>
          <w:sz w:val="20"/>
        </w:rPr>
        <w:t xml:space="preserve"> </w:t>
      </w:r>
      <w:r w:rsidR="00680D8B" w:rsidRPr="00680D8B">
        <w:rPr>
          <w:rFonts w:asciiTheme="majorBidi" w:hAnsiTheme="majorBidi" w:cstheme="majorBidi"/>
          <w:bCs/>
          <w:sz w:val="20"/>
          <w:szCs w:val="20"/>
        </w:rPr>
        <w:t>Observational cross section study</w:t>
      </w:r>
    </w:p>
    <w:p w14:paraId="6DEAAD99" w14:textId="5CB9C01A"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w:t>
      </w:r>
      <w:r w:rsidRPr="004A4B09">
        <w:rPr>
          <w:rFonts w:asciiTheme="majorBidi" w:hAnsiTheme="majorBidi" w:cstheme="majorBidi"/>
          <w:bCs/>
          <w:sz w:val="20"/>
          <w:szCs w:val="20"/>
        </w:rPr>
        <w:t xml:space="preserve">study was conducted at the </w:t>
      </w:r>
      <w:proofErr w:type="spellStart"/>
      <w:r w:rsidR="007615A7" w:rsidRPr="004A4B09">
        <w:rPr>
          <w:rFonts w:asciiTheme="majorBidi" w:hAnsiTheme="majorBidi" w:cstheme="majorBidi"/>
          <w:bCs/>
          <w:sz w:val="20"/>
          <w:szCs w:val="20"/>
        </w:rPr>
        <w:t>Rai</w:t>
      </w:r>
      <w:proofErr w:type="spellEnd"/>
      <w:r w:rsidR="007615A7" w:rsidRPr="004A4B09">
        <w:rPr>
          <w:rFonts w:asciiTheme="majorBidi" w:hAnsiTheme="majorBidi" w:cstheme="majorBidi"/>
          <w:bCs/>
          <w:sz w:val="20"/>
          <w:szCs w:val="20"/>
        </w:rPr>
        <w:t xml:space="preserve"> Medical College Teaching Hospital (RMCTH), Sargodha</w:t>
      </w:r>
      <w:r w:rsidR="00C0502A" w:rsidRPr="004A4B09">
        <w:rPr>
          <w:rFonts w:asciiTheme="majorBidi" w:hAnsiTheme="majorBidi" w:cstheme="majorBidi"/>
          <w:bCs/>
          <w:sz w:val="20"/>
          <w:szCs w:val="20"/>
        </w:rPr>
        <w:t xml:space="preserve"> from </w:t>
      </w:r>
      <w:r w:rsidR="00E61783" w:rsidRPr="004A4B09">
        <w:rPr>
          <w:rFonts w:asciiTheme="majorBidi" w:hAnsiTheme="majorBidi" w:cstheme="majorBidi"/>
          <w:bCs/>
          <w:sz w:val="20"/>
          <w:szCs w:val="20"/>
        </w:rPr>
        <w:t>Jan –June, 2022</w:t>
      </w:r>
      <w:r w:rsidR="000C67DA">
        <w:rPr>
          <w:rFonts w:asciiTheme="majorBidi" w:hAnsiTheme="majorBidi" w:cstheme="majorBidi"/>
          <w:bCs/>
          <w:sz w:val="20"/>
          <w:szCs w:val="20"/>
        </w:rPr>
        <w:t>.</w:t>
      </w:r>
    </w:p>
    <w:p w14:paraId="5F12A78A" w14:textId="792FAE4C"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564041">
        <w:rPr>
          <w:rFonts w:ascii="Times New Roman" w:hAnsi="Times New Roman"/>
          <w:b/>
          <w:sz w:val="20"/>
        </w:rPr>
        <w:t xml:space="preserve"> </w:t>
      </w:r>
      <w:r w:rsidR="00564041" w:rsidRPr="00784C4F">
        <w:rPr>
          <w:rFonts w:asciiTheme="majorBidi" w:hAnsiTheme="majorBidi" w:cstheme="majorBidi"/>
          <w:sz w:val="20"/>
          <w:szCs w:val="20"/>
        </w:rPr>
        <w:t>All subjects between 20-90 years of age of both sexes, presenting for pre-operative assessment before any planned Eye and ENT surgery were assessed by measuring their BP. If it was found to be above 140/90 mmHg, they were included in this study. Consenting patients were referred to the physician for proper assessment and management prior to surgery.</w:t>
      </w:r>
    </w:p>
    <w:p w14:paraId="69B234C5" w14:textId="72E3ECF2"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9F490B">
        <w:rPr>
          <w:rFonts w:ascii="Times New Roman" w:hAnsi="Times New Roman"/>
          <w:b/>
          <w:sz w:val="20"/>
        </w:rPr>
        <w:t xml:space="preserve"> </w:t>
      </w:r>
      <w:r w:rsidR="009F490B" w:rsidRPr="00784C4F">
        <w:rPr>
          <w:rFonts w:asciiTheme="majorBidi" w:hAnsiTheme="majorBidi" w:cstheme="majorBidi"/>
          <w:sz w:val="20"/>
          <w:szCs w:val="20"/>
        </w:rPr>
        <w:t xml:space="preserve">During the study period 288 surgeries were planned by Eye (67%, n192) and ENT (33%, n96) department. 25% (n72) were found to have their BP above 140/90 mmHg. Only these patients were referred to physicians for review and management and enrolled in the study. 42% were known </w:t>
      </w:r>
      <w:proofErr w:type="spellStart"/>
      <w:r w:rsidR="009F490B" w:rsidRPr="00784C4F">
        <w:rPr>
          <w:rFonts w:asciiTheme="majorBidi" w:hAnsiTheme="majorBidi" w:cstheme="majorBidi"/>
          <w:sz w:val="20"/>
          <w:szCs w:val="20"/>
        </w:rPr>
        <w:t>hypertensives</w:t>
      </w:r>
      <w:proofErr w:type="spellEnd"/>
      <w:r w:rsidR="009F490B" w:rsidRPr="00784C4F">
        <w:rPr>
          <w:rFonts w:asciiTheme="majorBidi" w:hAnsiTheme="majorBidi" w:cstheme="majorBidi"/>
          <w:sz w:val="20"/>
          <w:szCs w:val="20"/>
        </w:rPr>
        <w:t xml:space="preserve">. Out of these 38% missed the morning dose of their antihypertensive medicine. The other 58%, both known </w:t>
      </w:r>
      <w:proofErr w:type="spellStart"/>
      <w:r w:rsidR="009F490B" w:rsidRPr="00784C4F">
        <w:rPr>
          <w:rFonts w:asciiTheme="majorBidi" w:hAnsiTheme="majorBidi" w:cstheme="majorBidi"/>
          <w:sz w:val="20"/>
          <w:szCs w:val="20"/>
        </w:rPr>
        <w:t>hypertensives</w:t>
      </w:r>
      <w:proofErr w:type="spellEnd"/>
      <w:r w:rsidR="009F490B" w:rsidRPr="00784C4F">
        <w:rPr>
          <w:rFonts w:asciiTheme="majorBidi" w:hAnsiTheme="majorBidi" w:cstheme="majorBidi"/>
          <w:sz w:val="20"/>
          <w:szCs w:val="20"/>
        </w:rPr>
        <w:t xml:space="preserve"> and previously normotensive had clear cut evidence of anxiety manifesting as palpitation, tremors and cold sweaty palms.</w:t>
      </w:r>
    </w:p>
    <w:p w14:paraId="749F4906" w14:textId="2FFC6A0E"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1D0248">
        <w:rPr>
          <w:rFonts w:ascii="Times New Roman" w:hAnsi="Times New Roman"/>
          <w:b/>
          <w:sz w:val="20"/>
        </w:rPr>
        <w:t xml:space="preserve"> </w:t>
      </w:r>
      <w:r w:rsidR="001D0248" w:rsidRPr="00784C4F">
        <w:rPr>
          <w:rFonts w:asciiTheme="majorBidi" w:hAnsiTheme="majorBidi" w:cstheme="majorBidi"/>
          <w:sz w:val="20"/>
          <w:szCs w:val="20"/>
        </w:rPr>
        <w:t xml:space="preserve">The available literature doesn’t support the common notion that pre-existing hypertension or pre-operative hypertension </w:t>
      </w:r>
      <w:proofErr w:type="gramStart"/>
      <w:r w:rsidR="001D0248" w:rsidRPr="00784C4F">
        <w:rPr>
          <w:rFonts w:asciiTheme="majorBidi" w:hAnsiTheme="majorBidi" w:cstheme="majorBidi"/>
          <w:sz w:val="20"/>
          <w:szCs w:val="20"/>
        </w:rPr>
        <w:t>are</w:t>
      </w:r>
      <w:proofErr w:type="gramEnd"/>
      <w:r w:rsidR="001D0248" w:rsidRPr="00784C4F">
        <w:rPr>
          <w:rFonts w:asciiTheme="majorBidi" w:hAnsiTheme="majorBidi" w:cstheme="majorBidi"/>
          <w:sz w:val="20"/>
          <w:szCs w:val="20"/>
        </w:rPr>
        <w:t xml:space="preserve"> associated with </w:t>
      </w:r>
      <w:proofErr w:type="spellStart"/>
      <w:r w:rsidR="001D0248" w:rsidRPr="00784C4F">
        <w:rPr>
          <w:rFonts w:asciiTheme="majorBidi" w:hAnsiTheme="majorBidi" w:cstheme="majorBidi"/>
          <w:sz w:val="20"/>
          <w:szCs w:val="20"/>
        </w:rPr>
        <w:t>peri</w:t>
      </w:r>
      <w:proofErr w:type="spellEnd"/>
      <w:r w:rsidR="001D0248" w:rsidRPr="00784C4F">
        <w:rPr>
          <w:rFonts w:asciiTheme="majorBidi" w:hAnsiTheme="majorBidi" w:cstheme="majorBidi"/>
          <w:sz w:val="20"/>
          <w:szCs w:val="20"/>
        </w:rPr>
        <w:t xml:space="preserve">-operative hemodynamic instability or a poor surgical outcome. One must appreciate the difference between the increased chances of having complications in hypertension but the actual </w:t>
      </w:r>
      <w:proofErr w:type="gramStart"/>
      <w:r w:rsidR="001D0248" w:rsidRPr="00784C4F">
        <w:rPr>
          <w:rFonts w:asciiTheme="majorBidi" w:hAnsiTheme="majorBidi" w:cstheme="majorBidi"/>
          <w:sz w:val="20"/>
          <w:szCs w:val="20"/>
        </w:rPr>
        <w:t>degree of being above the normal BP have</w:t>
      </w:r>
      <w:proofErr w:type="gramEnd"/>
      <w:r w:rsidR="001D0248" w:rsidRPr="00784C4F">
        <w:rPr>
          <w:rFonts w:asciiTheme="majorBidi" w:hAnsiTheme="majorBidi" w:cstheme="majorBidi"/>
          <w:sz w:val="20"/>
          <w:szCs w:val="20"/>
        </w:rPr>
        <w:t xml:space="preserve"> no association with increased risk of complications. It can be concluded from this study It is perfectly safe to proceed with surgery till pre-operative BP is below 180/110 mmHg. Any such decision must be weighed against urgency and potential risk for postponement on individual basis with special emphasis in diabetics, CHD and renal disease.</w:t>
      </w:r>
    </w:p>
    <w:p w14:paraId="1DC154C2" w14:textId="72415577"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F4212F">
        <w:rPr>
          <w:rFonts w:ascii="Times New Roman" w:hAnsi="Times New Roman"/>
          <w:b/>
          <w:sz w:val="20"/>
        </w:rPr>
        <w:t xml:space="preserve"> </w:t>
      </w:r>
      <w:r w:rsidR="00F4212F" w:rsidRPr="00784C4F">
        <w:rPr>
          <w:rFonts w:asciiTheme="majorBidi" w:hAnsiTheme="majorBidi" w:cstheme="majorBidi"/>
          <w:sz w:val="20"/>
          <w:szCs w:val="20"/>
        </w:rPr>
        <w:t>Hypertension, Pre-operative Hypertension, Eye and ENT surgery</w:t>
      </w:r>
    </w:p>
    <w:p w14:paraId="1CDD4768" w14:textId="7C42CE12" w:rsidR="00171DE2" w:rsidRPr="00EF6B19" w:rsidRDefault="00393162" w:rsidP="00A135C5">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Citation of article:</w:t>
      </w:r>
      <w:r w:rsidR="00B722E3">
        <w:rPr>
          <w:rFonts w:ascii="Times New Roman" w:hAnsi="Times New Roman"/>
          <w:b/>
          <w:sz w:val="20"/>
        </w:rPr>
        <w:t xml:space="preserve"> </w:t>
      </w:r>
      <w:proofErr w:type="spellStart"/>
      <w:r w:rsidR="00B722E3" w:rsidRPr="00DC3737">
        <w:rPr>
          <w:rFonts w:asciiTheme="majorBidi" w:hAnsiTheme="majorBidi" w:cstheme="majorBidi"/>
          <w:b/>
          <w:bCs/>
          <w:sz w:val="20"/>
          <w:szCs w:val="20"/>
        </w:rPr>
        <w:t>Rana</w:t>
      </w:r>
      <w:proofErr w:type="spellEnd"/>
      <w:r w:rsidR="00B722E3" w:rsidRPr="00DC3737">
        <w:rPr>
          <w:rFonts w:asciiTheme="majorBidi" w:hAnsiTheme="majorBidi" w:cstheme="majorBidi"/>
          <w:b/>
          <w:bCs/>
          <w:sz w:val="20"/>
          <w:szCs w:val="20"/>
        </w:rPr>
        <w:t xml:space="preserve"> </w:t>
      </w:r>
      <w:r w:rsidR="00944FCC">
        <w:rPr>
          <w:rFonts w:asciiTheme="majorBidi" w:hAnsiTheme="majorBidi" w:cstheme="majorBidi"/>
          <w:b/>
          <w:bCs/>
          <w:sz w:val="20"/>
          <w:szCs w:val="20"/>
        </w:rPr>
        <w:t xml:space="preserve">MM, </w:t>
      </w:r>
      <w:proofErr w:type="spellStart"/>
      <w:r w:rsidR="00A135C5" w:rsidRPr="00A135C5">
        <w:rPr>
          <w:rFonts w:asciiTheme="majorBidi" w:hAnsiTheme="majorBidi" w:cstheme="majorBidi"/>
          <w:b/>
          <w:bCs/>
          <w:sz w:val="20"/>
          <w:szCs w:val="20"/>
        </w:rPr>
        <w:t>Nagra</w:t>
      </w:r>
      <w:proofErr w:type="spellEnd"/>
      <w:r w:rsidR="000D2426">
        <w:rPr>
          <w:rFonts w:asciiTheme="majorBidi" w:hAnsiTheme="majorBidi" w:cstheme="majorBidi"/>
          <w:b/>
          <w:bCs/>
          <w:sz w:val="20"/>
          <w:szCs w:val="20"/>
        </w:rPr>
        <w:t xml:space="preserve"> SR</w:t>
      </w:r>
      <w:r w:rsidR="00090D86">
        <w:rPr>
          <w:rFonts w:asciiTheme="majorBidi" w:hAnsiTheme="majorBidi" w:cstheme="majorBidi"/>
          <w:b/>
          <w:bCs/>
          <w:sz w:val="20"/>
          <w:szCs w:val="20"/>
        </w:rPr>
        <w:t xml:space="preserve">, </w:t>
      </w:r>
      <w:proofErr w:type="spellStart"/>
      <w:r w:rsidR="00B722E3" w:rsidRPr="00DC3737">
        <w:rPr>
          <w:rFonts w:asciiTheme="majorBidi" w:hAnsiTheme="majorBidi" w:cstheme="majorBidi"/>
          <w:b/>
          <w:bCs/>
          <w:sz w:val="20"/>
          <w:szCs w:val="20"/>
        </w:rPr>
        <w:t>Awan</w:t>
      </w:r>
      <w:proofErr w:type="spellEnd"/>
      <w:r w:rsidR="00B722E3" w:rsidRPr="00DC3737">
        <w:rPr>
          <w:rFonts w:asciiTheme="majorBidi" w:hAnsiTheme="majorBidi" w:cstheme="majorBidi"/>
          <w:b/>
          <w:bCs/>
          <w:sz w:val="20"/>
          <w:szCs w:val="20"/>
        </w:rPr>
        <w:t xml:space="preserve"> </w:t>
      </w:r>
      <w:r w:rsidR="0017128E">
        <w:rPr>
          <w:rFonts w:asciiTheme="majorBidi" w:hAnsiTheme="majorBidi" w:cstheme="majorBidi"/>
          <w:b/>
          <w:bCs/>
          <w:sz w:val="20"/>
          <w:szCs w:val="20"/>
        </w:rPr>
        <w:t xml:space="preserve">ZL, </w:t>
      </w:r>
      <w:proofErr w:type="spellStart"/>
      <w:r w:rsidR="00B722E3" w:rsidRPr="00DC3737">
        <w:rPr>
          <w:rFonts w:asciiTheme="majorBidi" w:hAnsiTheme="majorBidi" w:cstheme="majorBidi"/>
          <w:b/>
          <w:bCs/>
          <w:sz w:val="20"/>
          <w:szCs w:val="20"/>
        </w:rPr>
        <w:t>Gani</w:t>
      </w:r>
      <w:proofErr w:type="spellEnd"/>
      <w:r w:rsidR="00B722E3" w:rsidRPr="00DC3737">
        <w:rPr>
          <w:rFonts w:asciiTheme="majorBidi" w:hAnsiTheme="majorBidi" w:cstheme="majorBidi"/>
          <w:b/>
          <w:bCs/>
          <w:sz w:val="20"/>
          <w:szCs w:val="20"/>
        </w:rPr>
        <w:t xml:space="preserve"> </w:t>
      </w:r>
      <w:r w:rsidR="000C5F03">
        <w:rPr>
          <w:rFonts w:asciiTheme="majorBidi" w:hAnsiTheme="majorBidi" w:cstheme="majorBidi"/>
          <w:b/>
          <w:bCs/>
          <w:sz w:val="20"/>
          <w:szCs w:val="20"/>
        </w:rPr>
        <w:t xml:space="preserve">D, </w:t>
      </w:r>
      <w:proofErr w:type="spellStart"/>
      <w:r w:rsidR="00B722E3" w:rsidRPr="00DC3737">
        <w:rPr>
          <w:rFonts w:asciiTheme="majorBidi" w:hAnsiTheme="majorBidi" w:cstheme="majorBidi"/>
          <w:b/>
          <w:bCs/>
          <w:sz w:val="20"/>
          <w:szCs w:val="20"/>
        </w:rPr>
        <w:t>Zafar</w:t>
      </w:r>
      <w:proofErr w:type="spellEnd"/>
      <w:r w:rsidR="00B722E3" w:rsidRPr="00DC3737">
        <w:rPr>
          <w:rFonts w:asciiTheme="majorBidi" w:hAnsiTheme="majorBidi" w:cstheme="majorBidi"/>
          <w:b/>
          <w:bCs/>
          <w:sz w:val="20"/>
          <w:szCs w:val="20"/>
        </w:rPr>
        <w:t xml:space="preserve"> </w:t>
      </w:r>
      <w:r w:rsidR="00057F97">
        <w:rPr>
          <w:rFonts w:asciiTheme="majorBidi" w:hAnsiTheme="majorBidi" w:cstheme="majorBidi"/>
          <w:b/>
          <w:bCs/>
          <w:sz w:val="20"/>
          <w:szCs w:val="20"/>
        </w:rPr>
        <w:t xml:space="preserve">ZI, </w:t>
      </w:r>
      <w:r w:rsidR="00B722E3" w:rsidRPr="00DC3737">
        <w:rPr>
          <w:rFonts w:asciiTheme="majorBidi" w:hAnsiTheme="majorBidi" w:cstheme="majorBidi"/>
          <w:b/>
          <w:bCs/>
          <w:sz w:val="20"/>
          <w:szCs w:val="20"/>
        </w:rPr>
        <w:t>Ahmed</w:t>
      </w:r>
      <w:r w:rsidR="00AB7AE6">
        <w:rPr>
          <w:rFonts w:asciiTheme="majorBidi" w:hAnsiTheme="majorBidi" w:cstheme="majorBidi"/>
          <w:b/>
          <w:bCs/>
          <w:sz w:val="20"/>
          <w:szCs w:val="20"/>
        </w:rPr>
        <w:t xml:space="preserve"> KI</w:t>
      </w:r>
      <w:r w:rsidR="005E3375" w:rsidRPr="00DC3737">
        <w:rPr>
          <w:rFonts w:asciiTheme="majorBidi" w:hAnsiTheme="majorBidi" w:cstheme="majorBidi"/>
          <w:b/>
          <w:bCs/>
          <w:sz w:val="20"/>
          <w:szCs w:val="20"/>
        </w:rPr>
        <w:t>.</w:t>
      </w:r>
      <w:r w:rsidR="00C00910">
        <w:rPr>
          <w:rFonts w:ascii="Times New Roman" w:hAnsi="Times New Roman"/>
          <w:b/>
          <w:sz w:val="20"/>
        </w:rPr>
        <w:t xml:space="preserve"> </w:t>
      </w:r>
      <w:r w:rsidR="00C00910" w:rsidRPr="00E87597">
        <w:rPr>
          <w:rFonts w:asciiTheme="majorBidi" w:hAnsiTheme="majorBidi" w:cstheme="majorBidi"/>
          <w:b/>
          <w:bCs/>
          <w:sz w:val="20"/>
          <w:szCs w:val="20"/>
        </w:rPr>
        <w:t>Is Pre-Operative Acute Rise in Blood Pressure before Eye and ENT Surgery A Genuine Excuse for Postponement of the Procedures?</w:t>
      </w:r>
      <w:r w:rsidRPr="00EF6B19">
        <w:rPr>
          <w:rFonts w:ascii="Times New Roman" w:hAnsi="Times New Roman"/>
          <w:b/>
          <w:sz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F20A91">
        <w:rPr>
          <w:rFonts w:ascii="Times New Roman" w:hAnsi="Times New Roman"/>
          <w:b/>
          <w:sz w:val="20"/>
          <w:szCs w:val="20"/>
          <w:lang w:eastAsia="ar-SA"/>
        </w:rPr>
        <w:t>93-97.</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5C632D">
          <w:headerReference w:type="default" r:id="rId8"/>
          <w:pgSz w:w="12240" w:h="15840"/>
          <w:pgMar w:top="1080" w:right="1440" w:bottom="1440" w:left="1440" w:header="720" w:footer="720" w:gutter="0"/>
          <w:pgNumType w:start="93"/>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1B62DF73" w:rsidR="00822107" w:rsidRPr="00EF6B19" w:rsidRDefault="00DF782A" w:rsidP="00CD1423">
      <w:pPr>
        <w:shd w:val="clear" w:color="auto" w:fill="FFFFFF"/>
        <w:spacing w:after="0" w:line="240" w:lineRule="auto"/>
        <w:jc w:val="both"/>
        <w:rPr>
          <w:rFonts w:ascii="Times New Roman" w:hAnsi="Times New Roman"/>
          <w:b/>
          <w:sz w:val="20"/>
          <w:vertAlign w:val="superscript"/>
        </w:rPr>
      </w:pPr>
      <w:r w:rsidRPr="00784C4F">
        <w:rPr>
          <w:rFonts w:asciiTheme="majorBidi" w:hAnsiTheme="majorBidi" w:cstheme="majorBidi"/>
          <w:bCs/>
          <w:sz w:val="20"/>
          <w:szCs w:val="20"/>
        </w:rPr>
        <w:t xml:space="preserve">Normal vitals especially BP is a pre-requisite for surgery and anesthesia fitness. </w:t>
      </w:r>
      <w:r w:rsidR="005A3947" w:rsidRPr="00784C4F">
        <w:rPr>
          <w:rFonts w:asciiTheme="majorBidi" w:hAnsiTheme="majorBidi" w:cstheme="majorBidi"/>
          <w:bCs/>
          <w:sz w:val="20"/>
          <w:szCs w:val="20"/>
        </w:rPr>
        <w:t>Many a time a person is found to have raised BP for the first time at the time of pre-assessment for fitness without any documented history of hypertension (HTN) or a well-controlled hypertensive patient on medication</w:t>
      </w:r>
      <w:r w:rsidR="00CD1423">
        <w:rPr>
          <w:rFonts w:asciiTheme="majorBidi" w:hAnsiTheme="majorBidi" w:cstheme="majorBidi"/>
          <w:bCs/>
          <w:sz w:val="20"/>
          <w:szCs w:val="20"/>
        </w:rPr>
        <w:t xml:space="preserve"> is found  to  have  a</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43667DBA" w:rsidR="00822107" w:rsidRPr="000A4EC1"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784753" w:rsidRPr="000A4EC1">
        <w:rPr>
          <w:rFonts w:ascii="Times New Roman" w:eastAsia="Times New Roman" w:hAnsi="Times New Roman" w:cs="Times New Roman"/>
          <w:sz w:val="18"/>
          <w:szCs w:val="24"/>
        </w:rPr>
        <w:t>Medicine</w:t>
      </w:r>
      <w:r w:rsidR="00A371F0">
        <w:rPr>
          <w:rFonts w:ascii="Times New Roman" w:eastAsia="Times New Roman" w:hAnsi="Times New Roman" w:cs="Times New Roman"/>
          <w:sz w:val="18"/>
          <w:szCs w:val="24"/>
          <w:lang w:val="en-US"/>
        </w:rPr>
        <w:t xml:space="preserve"> / E</w:t>
      </w:r>
      <w:r w:rsidR="00A371F0" w:rsidRPr="00642563">
        <w:rPr>
          <w:rFonts w:ascii="Times New Roman" w:eastAsia="Times New Roman" w:hAnsi="Times New Roman" w:cs="Times New Roman"/>
          <w:sz w:val="18"/>
          <w:szCs w:val="24"/>
        </w:rPr>
        <w:t>NT</w:t>
      </w:r>
      <w:r w:rsidR="00753245" w:rsidRPr="00753245">
        <w:rPr>
          <w:rFonts w:ascii="Times New Roman" w:eastAsia="Times New Roman" w:hAnsi="Times New Roman" w:cs="Times New Roman"/>
          <w:sz w:val="18"/>
          <w:szCs w:val="24"/>
          <w:vertAlign w:val="superscript"/>
          <w:lang w:val="en-US"/>
        </w:rPr>
        <w:t>2</w:t>
      </w:r>
      <w:r w:rsidR="00A371F0" w:rsidRPr="00642563">
        <w:rPr>
          <w:rFonts w:ascii="Times New Roman" w:eastAsia="Times New Roman" w:hAnsi="Times New Roman" w:cs="Times New Roman"/>
          <w:sz w:val="18"/>
          <w:szCs w:val="24"/>
        </w:rPr>
        <w:t xml:space="preserve"> </w:t>
      </w:r>
      <w:r w:rsidR="00E75B55" w:rsidRPr="00642563">
        <w:rPr>
          <w:rFonts w:ascii="Times New Roman" w:eastAsia="Times New Roman" w:hAnsi="Times New Roman" w:cs="Times New Roman"/>
          <w:sz w:val="18"/>
          <w:szCs w:val="24"/>
        </w:rPr>
        <w:t>/ Community Medicine</w:t>
      </w:r>
      <w:r w:rsidR="003F0F0D" w:rsidRPr="003F0F0D">
        <w:rPr>
          <w:rFonts w:ascii="Times New Roman" w:eastAsia="Times New Roman" w:hAnsi="Times New Roman" w:cs="Times New Roman"/>
          <w:sz w:val="18"/>
          <w:szCs w:val="24"/>
          <w:vertAlign w:val="superscript"/>
          <w:lang w:val="en-US"/>
        </w:rPr>
        <w:t>3</w:t>
      </w:r>
      <w:r w:rsidR="008B1A30" w:rsidRPr="00642563">
        <w:rPr>
          <w:rFonts w:ascii="Times New Roman" w:eastAsia="Times New Roman" w:hAnsi="Times New Roman" w:cs="Times New Roman"/>
          <w:sz w:val="18"/>
          <w:szCs w:val="24"/>
        </w:rPr>
        <w:t xml:space="preserve"> </w:t>
      </w:r>
      <w:r w:rsidR="006E18D1" w:rsidRPr="00642563">
        <w:rPr>
          <w:rFonts w:ascii="Times New Roman" w:eastAsia="Times New Roman" w:hAnsi="Times New Roman" w:cs="Times New Roman"/>
          <w:sz w:val="18"/>
          <w:szCs w:val="24"/>
        </w:rPr>
        <w:t xml:space="preserve">/ </w:t>
      </w:r>
      <w:r w:rsidR="00642563" w:rsidRPr="00642563">
        <w:rPr>
          <w:rFonts w:ascii="Times New Roman" w:eastAsia="Times New Roman" w:hAnsi="Times New Roman" w:cs="Times New Roman"/>
          <w:sz w:val="18"/>
          <w:szCs w:val="24"/>
        </w:rPr>
        <w:t>Ophthalmology</w:t>
      </w:r>
      <w:r w:rsidR="00E0333C" w:rsidRPr="00E0333C">
        <w:rPr>
          <w:rFonts w:ascii="Times New Roman" w:eastAsia="Times New Roman" w:hAnsi="Times New Roman" w:cs="Times New Roman"/>
          <w:sz w:val="18"/>
          <w:szCs w:val="24"/>
          <w:vertAlign w:val="superscript"/>
          <w:lang w:val="en-US"/>
        </w:rPr>
        <w:t>4</w:t>
      </w:r>
      <w:r w:rsidR="00784753" w:rsidRPr="000A4EC1">
        <w:rPr>
          <w:rFonts w:ascii="Times New Roman" w:eastAsia="Times New Roman" w:hAnsi="Times New Roman" w:cs="Times New Roman"/>
          <w:sz w:val="18"/>
          <w:szCs w:val="24"/>
        </w:rPr>
        <w:t xml:space="preserve">. </w:t>
      </w:r>
      <w:proofErr w:type="spellStart"/>
      <w:r w:rsidR="00784753" w:rsidRPr="000A4EC1">
        <w:rPr>
          <w:rFonts w:ascii="Times New Roman" w:eastAsia="Times New Roman" w:hAnsi="Times New Roman" w:cs="Times New Roman"/>
          <w:sz w:val="18"/>
          <w:szCs w:val="24"/>
        </w:rPr>
        <w:t>Rai</w:t>
      </w:r>
      <w:proofErr w:type="spellEnd"/>
      <w:r w:rsidR="00784753" w:rsidRPr="000A4EC1">
        <w:rPr>
          <w:rFonts w:ascii="Times New Roman" w:eastAsia="Times New Roman" w:hAnsi="Times New Roman" w:cs="Times New Roman"/>
          <w:sz w:val="18"/>
          <w:szCs w:val="24"/>
        </w:rPr>
        <w:t xml:space="preserve"> Medical College, Sargodha</w:t>
      </w:r>
      <w:r w:rsidR="000A4EC1" w:rsidRPr="000A4EC1">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38DD5E77" w:rsidR="00822107" w:rsidRPr="009B1EEE"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6D57F2" w:rsidRPr="006D57F2">
        <w:rPr>
          <w:rFonts w:ascii="Times New Roman" w:eastAsia="Times New Roman" w:hAnsi="Times New Roman" w:cs="Times New Roman"/>
          <w:sz w:val="18"/>
          <w:szCs w:val="24"/>
        </w:rPr>
        <w:t xml:space="preserve">Dr. Mohammad </w:t>
      </w:r>
      <w:proofErr w:type="spellStart"/>
      <w:r w:rsidR="006D57F2" w:rsidRPr="006D57F2">
        <w:rPr>
          <w:rFonts w:ascii="Times New Roman" w:eastAsia="Times New Roman" w:hAnsi="Times New Roman" w:cs="Times New Roman"/>
          <w:sz w:val="18"/>
          <w:szCs w:val="24"/>
        </w:rPr>
        <w:t>Mohsin</w:t>
      </w:r>
      <w:proofErr w:type="spellEnd"/>
      <w:r w:rsidR="006D57F2" w:rsidRPr="006D57F2">
        <w:rPr>
          <w:rFonts w:ascii="Times New Roman" w:eastAsia="Times New Roman" w:hAnsi="Times New Roman" w:cs="Times New Roman"/>
          <w:sz w:val="18"/>
          <w:szCs w:val="24"/>
        </w:rPr>
        <w:t xml:space="preserve"> </w:t>
      </w:r>
      <w:proofErr w:type="spellStart"/>
      <w:r w:rsidR="006D57F2" w:rsidRPr="006D57F2">
        <w:rPr>
          <w:rFonts w:ascii="Times New Roman" w:eastAsia="Times New Roman" w:hAnsi="Times New Roman" w:cs="Times New Roman"/>
          <w:sz w:val="18"/>
          <w:szCs w:val="24"/>
        </w:rPr>
        <w:t>Rana</w:t>
      </w:r>
      <w:proofErr w:type="spellEnd"/>
      <w:r w:rsidR="006D57F2" w:rsidRPr="006D57F2">
        <w:rPr>
          <w:rFonts w:ascii="Times New Roman" w:eastAsia="Times New Roman" w:hAnsi="Times New Roman" w:cs="Times New Roman"/>
          <w:sz w:val="18"/>
          <w:szCs w:val="24"/>
        </w:rPr>
        <w:t xml:space="preserve">. Associate Professor of Medicine. </w:t>
      </w:r>
      <w:proofErr w:type="spellStart"/>
      <w:r w:rsidR="006D57F2" w:rsidRPr="006D57F2">
        <w:rPr>
          <w:rFonts w:ascii="Times New Roman" w:eastAsia="Times New Roman" w:hAnsi="Times New Roman" w:cs="Times New Roman"/>
          <w:sz w:val="18"/>
          <w:szCs w:val="24"/>
        </w:rPr>
        <w:t>Rai</w:t>
      </w:r>
      <w:proofErr w:type="spellEnd"/>
      <w:r w:rsidR="006D57F2" w:rsidRPr="006D57F2">
        <w:rPr>
          <w:rFonts w:ascii="Times New Roman" w:eastAsia="Times New Roman" w:hAnsi="Times New Roman" w:cs="Times New Roman"/>
          <w:sz w:val="18"/>
          <w:szCs w:val="24"/>
        </w:rPr>
        <w:t xml:space="preserve"> Medical College, Sargodha</w:t>
      </w:r>
      <w:r w:rsidR="009B1EEE">
        <w:rPr>
          <w:rFonts w:ascii="Times New Roman" w:eastAsia="Times New Roman" w:hAnsi="Times New Roman" w:cs="Times New Roman"/>
          <w:sz w:val="18"/>
          <w:szCs w:val="24"/>
          <w:lang w:val="en-US"/>
        </w:rPr>
        <w:t>.</w:t>
      </w:r>
    </w:p>
    <w:p w14:paraId="72523B88" w14:textId="0B468F2C" w:rsidR="00822107" w:rsidRPr="002152C9" w:rsidRDefault="00822107" w:rsidP="000E3800">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2152C9">
        <w:rPr>
          <w:rFonts w:ascii="Times New Roman" w:eastAsia="Times New Roman" w:hAnsi="Times New Roman" w:cs="Times New Roman"/>
          <w:sz w:val="18"/>
          <w:szCs w:val="24"/>
        </w:rPr>
        <w:t xml:space="preserve">Contact No: </w:t>
      </w:r>
      <w:r w:rsidR="000E3800">
        <w:rPr>
          <w:rFonts w:ascii="Times New Roman" w:eastAsia="Times New Roman" w:hAnsi="Times New Roman" w:cs="Times New Roman"/>
          <w:sz w:val="18"/>
          <w:szCs w:val="24"/>
          <w:lang w:val="en-US"/>
        </w:rPr>
        <w:t>0</w:t>
      </w:r>
      <w:r w:rsidR="009D3224" w:rsidRPr="002152C9">
        <w:rPr>
          <w:rFonts w:ascii="Times New Roman" w:eastAsia="Times New Roman" w:hAnsi="Times New Roman" w:cs="Times New Roman"/>
          <w:sz w:val="18"/>
          <w:szCs w:val="24"/>
        </w:rPr>
        <w:t>3009669108, 03427736580</w:t>
      </w:r>
    </w:p>
    <w:p w14:paraId="57C2BFD3" w14:textId="69964D32"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2152C9">
        <w:rPr>
          <w:rFonts w:ascii="Times New Roman" w:eastAsia="Times New Roman" w:hAnsi="Times New Roman" w:cs="Times New Roman"/>
          <w:sz w:val="18"/>
          <w:szCs w:val="24"/>
        </w:rPr>
        <w:t xml:space="preserve">Email: </w:t>
      </w:r>
      <w:hyperlink r:id="rId9" w:history="1">
        <w:r w:rsidR="008A624B" w:rsidRPr="002152C9">
          <w:rPr>
            <w:rFonts w:ascii="Times New Roman" w:eastAsia="Times New Roman" w:hAnsi="Times New Roman" w:cs="Times New Roman"/>
            <w:sz w:val="18"/>
            <w:szCs w:val="24"/>
          </w:rPr>
          <w:t>drmohsinrana2905@gmail.com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3E1E8D6" w:rsidR="008D2878" w:rsidRDefault="008D2878" w:rsidP="00374E04">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374E04">
        <w:rPr>
          <w:rFonts w:ascii="Times New Roman" w:hAnsi="Times New Roman"/>
          <w:sz w:val="18"/>
          <w:szCs w:val="18"/>
          <w:lang w:eastAsia="en-AU"/>
        </w:rPr>
        <w:t>July</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78A9B91F" w14:textId="16C5C614" w:rsidR="00650ED4" w:rsidRPr="00784C4F" w:rsidRDefault="00650ED4" w:rsidP="005804F6">
      <w:pPr>
        <w:shd w:val="clear" w:color="auto" w:fill="FFFFFF"/>
        <w:spacing w:after="0" w:line="240" w:lineRule="auto"/>
        <w:jc w:val="both"/>
        <w:rPr>
          <w:rFonts w:asciiTheme="majorBidi" w:hAnsiTheme="majorBidi" w:cstheme="majorBidi"/>
          <w:sz w:val="20"/>
          <w:szCs w:val="20"/>
        </w:rPr>
      </w:pPr>
      <w:proofErr w:type="gramStart"/>
      <w:r w:rsidRPr="00784C4F">
        <w:rPr>
          <w:rFonts w:asciiTheme="majorBidi" w:hAnsiTheme="majorBidi" w:cstheme="majorBidi"/>
          <w:bCs/>
          <w:sz w:val="20"/>
          <w:szCs w:val="20"/>
        </w:rPr>
        <w:lastRenderedPageBreak/>
        <w:t>high</w:t>
      </w:r>
      <w:proofErr w:type="gramEnd"/>
      <w:r w:rsidRPr="00784C4F">
        <w:rPr>
          <w:rFonts w:asciiTheme="majorBidi" w:hAnsiTheme="majorBidi" w:cstheme="majorBidi"/>
          <w:bCs/>
          <w:sz w:val="20"/>
          <w:szCs w:val="20"/>
        </w:rPr>
        <w:t xml:space="preserve"> BP at this assessment. This becomes a reason for postponement of the surgical procedure in planned cases. In the light of available literature this is purely an over-reaction</w:t>
      </w:r>
      <w:r w:rsidRPr="005804F6">
        <w:rPr>
          <w:rFonts w:asciiTheme="majorBidi" w:hAnsiTheme="majorBidi" w:cstheme="majorBidi"/>
          <w:bCs/>
          <w:sz w:val="20"/>
          <w:szCs w:val="20"/>
          <w:vertAlign w:val="superscript"/>
        </w:rPr>
        <w:t>1</w:t>
      </w:r>
      <w:r w:rsidRPr="00784C4F">
        <w:rPr>
          <w:rFonts w:asciiTheme="majorBidi" w:hAnsiTheme="majorBidi" w:cstheme="majorBidi"/>
          <w:bCs/>
          <w:sz w:val="20"/>
          <w:szCs w:val="20"/>
        </w:rPr>
        <w:t xml:space="preserve">. </w:t>
      </w:r>
      <w:r w:rsidRPr="00784C4F">
        <w:rPr>
          <w:rFonts w:asciiTheme="majorBidi" w:hAnsiTheme="majorBidi" w:cstheme="majorBidi"/>
          <w:sz w:val="20"/>
          <w:szCs w:val="20"/>
        </w:rPr>
        <w:t xml:space="preserve">The global incidence of HTN is around 30% with wide variations mainly in different age groups, ethnicity and clustering of factors of metabolic syndrome.  </w:t>
      </w:r>
    </w:p>
    <w:p w14:paraId="222FC9AF" w14:textId="184A1FED" w:rsidR="00650ED4" w:rsidRPr="00784C4F" w:rsidRDefault="00650ED4" w:rsidP="00CD19E7">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The available literature doesn’t support the common notion that pre-existing hypertension or pre-operative hypertension </w:t>
      </w:r>
      <w:proofErr w:type="gramStart"/>
      <w:r w:rsidRPr="00784C4F">
        <w:rPr>
          <w:rFonts w:asciiTheme="majorBidi" w:hAnsiTheme="majorBidi" w:cstheme="majorBidi"/>
          <w:sz w:val="20"/>
          <w:szCs w:val="20"/>
        </w:rPr>
        <w:t>are</w:t>
      </w:r>
      <w:proofErr w:type="gramEnd"/>
      <w:r w:rsidRPr="00784C4F">
        <w:rPr>
          <w:rFonts w:asciiTheme="majorBidi" w:hAnsiTheme="majorBidi" w:cstheme="majorBidi"/>
          <w:sz w:val="20"/>
          <w:szCs w:val="20"/>
        </w:rPr>
        <w:t xml:space="preserve"> associated with </w:t>
      </w:r>
      <w:proofErr w:type="spellStart"/>
      <w:r w:rsidRPr="00784C4F">
        <w:rPr>
          <w:rFonts w:asciiTheme="majorBidi" w:hAnsiTheme="majorBidi" w:cstheme="majorBidi"/>
          <w:sz w:val="20"/>
          <w:szCs w:val="20"/>
        </w:rPr>
        <w:t>peri</w:t>
      </w:r>
      <w:proofErr w:type="spellEnd"/>
      <w:r w:rsidRPr="00784C4F">
        <w:rPr>
          <w:rFonts w:asciiTheme="majorBidi" w:hAnsiTheme="majorBidi" w:cstheme="majorBidi"/>
          <w:sz w:val="20"/>
          <w:szCs w:val="20"/>
        </w:rPr>
        <w:t>-operative hemodynamic instability or a poor surgical outcome. The joint guidelines from AAGBI and the British Hypertension Society states that it is perfectly safe to proceed with surgery till  pre-operative  BP  is below  180/110 mmHg.</w:t>
      </w:r>
      <w:r w:rsidR="00CD19E7" w:rsidRPr="00CD19E7">
        <w:rPr>
          <w:rFonts w:asciiTheme="majorBidi" w:hAnsiTheme="majorBidi" w:cstheme="majorBidi"/>
          <w:sz w:val="20"/>
          <w:szCs w:val="20"/>
          <w:vertAlign w:val="superscript"/>
        </w:rPr>
        <w:t>1</w:t>
      </w:r>
    </w:p>
    <w:p w14:paraId="1E58F5F3" w14:textId="7CBC7FD1" w:rsidR="00650ED4" w:rsidRPr="00784C4F" w:rsidRDefault="00650ED4" w:rsidP="005F5F67">
      <w:pPr>
        <w:spacing w:after="0" w:line="240" w:lineRule="auto"/>
        <w:jc w:val="both"/>
        <w:textAlignment w:val="top"/>
        <w:rPr>
          <w:rFonts w:asciiTheme="majorBidi" w:hAnsiTheme="majorBidi" w:cstheme="majorBidi"/>
          <w:sz w:val="20"/>
          <w:szCs w:val="20"/>
        </w:rPr>
      </w:pPr>
      <w:r w:rsidRPr="00784C4F">
        <w:rPr>
          <w:rFonts w:asciiTheme="majorBidi" w:hAnsiTheme="majorBidi" w:cstheme="majorBidi"/>
          <w:sz w:val="20"/>
          <w:szCs w:val="20"/>
        </w:rPr>
        <w:t xml:space="preserve">Every preoperative assessment shall be taken as a screening unique opportunity for common diseases according to the age, gender, genetic lineage and geography. According to American Heart Association </w:t>
      </w:r>
      <w:r w:rsidRPr="00784C4F">
        <w:rPr>
          <w:rFonts w:asciiTheme="majorBidi" w:hAnsiTheme="majorBidi" w:cstheme="majorBidi"/>
          <w:sz w:val="20"/>
          <w:szCs w:val="20"/>
        </w:rPr>
        <w:lastRenderedPageBreak/>
        <w:t xml:space="preserve">(AHA) guidelines,  for patients with mild to moderate hypertension, alternatively defined as Stage 1 and Stage 2 respectively (below 180/110 mmHg) there is no increased risk for </w:t>
      </w:r>
      <w:proofErr w:type="spellStart"/>
      <w:r w:rsidRPr="00784C4F">
        <w:rPr>
          <w:rFonts w:asciiTheme="majorBidi" w:hAnsiTheme="majorBidi" w:cstheme="majorBidi"/>
          <w:sz w:val="20"/>
          <w:szCs w:val="20"/>
        </w:rPr>
        <w:t>peri</w:t>
      </w:r>
      <w:proofErr w:type="spellEnd"/>
      <w:r w:rsidRPr="00784C4F">
        <w:rPr>
          <w:rFonts w:asciiTheme="majorBidi" w:hAnsiTheme="majorBidi" w:cstheme="majorBidi"/>
          <w:sz w:val="20"/>
          <w:szCs w:val="20"/>
        </w:rPr>
        <w:t xml:space="preserve">-operative adverse outcomes. </w:t>
      </w:r>
      <w:proofErr w:type="gramStart"/>
      <w:r w:rsidRPr="00784C4F">
        <w:rPr>
          <w:rFonts w:asciiTheme="majorBidi" w:hAnsiTheme="majorBidi" w:cstheme="majorBidi"/>
          <w:sz w:val="20"/>
          <w:szCs w:val="20"/>
        </w:rPr>
        <w:t>However BP shall be brought within acceptable range (140/90 mmHg) before proceeding for surgery in patients presenting with severe HTN or Stage 3 HTN (≥ 180/ 110 mmHg).</w:t>
      </w:r>
      <w:proofErr w:type="gramEnd"/>
      <w:r w:rsidRPr="00784C4F">
        <w:rPr>
          <w:rFonts w:asciiTheme="majorBidi" w:hAnsiTheme="majorBidi" w:cstheme="majorBidi"/>
          <w:sz w:val="20"/>
          <w:szCs w:val="20"/>
        </w:rPr>
        <w:t xml:space="preserve"> For diabetic and renal patients recommended targets are &lt;130/85 mmHg and &lt;125/75 mmHg. For patients 80 years and above the targets shall be a little bit relaxed, around 150/80 mmHg.</w:t>
      </w:r>
      <w:r w:rsidRPr="00B54844">
        <w:rPr>
          <w:rFonts w:asciiTheme="majorBidi" w:hAnsiTheme="majorBidi" w:cstheme="majorBidi"/>
          <w:sz w:val="20"/>
          <w:szCs w:val="20"/>
          <w:vertAlign w:val="superscript"/>
        </w:rPr>
        <w:t>2</w:t>
      </w:r>
      <w:proofErr w:type="gramStart"/>
      <w:r w:rsidRPr="00B54844">
        <w:rPr>
          <w:rFonts w:asciiTheme="majorBidi" w:hAnsiTheme="majorBidi" w:cstheme="majorBidi"/>
          <w:sz w:val="20"/>
          <w:szCs w:val="20"/>
          <w:vertAlign w:val="superscript"/>
        </w:rPr>
        <w:t>,3</w:t>
      </w:r>
      <w:proofErr w:type="gramEnd"/>
    </w:p>
    <w:p w14:paraId="7F0B8993" w14:textId="55E027AB" w:rsidR="00650ED4" w:rsidRPr="00B7662F" w:rsidRDefault="00650ED4" w:rsidP="00650ED4">
      <w:pPr>
        <w:shd w:val="clear" w:color="auto" w:fill="FFFFFF"/>
        <w:spacing w:after="0" w:line="240" w:lineRule="auto"/>
        <w:jc w:val="both"/>
        <w:rPr>
          <w:rFonts w:ascii="Times New Roman" w:hAnsi="Times New Roman"/>
          <w:b/>
          <w:sz w:val="6"/>
          <w:szCs w:val="6"/>
        </w:rPr>
      </w:pPr>
      <w:r w:rsidRPr="00784C4F">
        <w:rPr>
          <w:rFonts w:asciiTheme="majorBidi" w:hAnsiTheme="majorBidi" w:cstheme="majorBidi"/>
          <w:bCs/>
          <w:sz w:val="20"/>
          <w:szCs w:val="20"/>
        </w:rPr>
        <w:t xml:space="preserve">This study was carried out to alleviate the unnecessary taboos attached to it by studying the incidence and outcome of this unexpected preoperative high BP and to highlight that </w:t>
      </w:r>
      <w:r w:rsidRPr="00784C4F">
        <w:rPr>
          <w:rFonts w:asciiTheme="majorBidi" w:hAnsiTheme="majorBidi" w:cstheme="majorBidi"/>
          <w:sz w:val="20"/>
          <w:szCs w:val="20"/>
        </w:rPr>
        <w:t>joint guidelines from the AAGBI and the British Hypertension Society states that it is perfectly safe to proceed with surgery till pre-operative BP is below 180/110 mmHg. Special care is recommended for only diabetics, Ischemic Heart disease and renal patients.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2900A05A" w14:textId="77777777" w:rsidR="0094104F" w:rsidRPr="00784C4F" w:rsidRDefault="0094104F" w:rsidP="0094104F">
      <w:pPr>
        <w:widowControl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Patients having BP above 140/90 mmHg, between 20-90 years of age of both gender, presenting for pre-operative assessment before any eye and ENT surgery were included in this  study. Consenting patients were referred to the physician for proper assessment. Their BP was reassessed as per standard practices. Physicians reviewed the fitness for surgery.</w:t>
      </w:r>
    </w:p>
    <w:p w14:paraId="63819E09" w14:textId="453CF23D" w:rsidR="0094104F" w:rsidRPr="00784C4F" w:rsidRDefault="00C878EA" w:rsidP="00C878EA">
      <w:pPr>
        <w:widowControl w:val="0"/>
        <w:spacing w:after="0" w:line="240" w:lineRule="auto"/>
        <w:jc w:val="both"/>
        <w:rPr>
          <w:rFonts w:asciiTheme="majorBidi" w:hAnsiTheme="majorBidi" w:cstheme="majorBidi"/>
          <w:sz w:val="20"/>
          <w:szCs w:val="20"/>
        </w:rPr>
      </w:pPr>
      <w:r w:rsidRPr="00C878EA">
        <w:rPr>
          <w:rFonts w:asciiTheme="majorBidi" w:hAnsiTheme="majorBidi" w:cstheme="majorBidi"/>
          <w:b/>
          <w:bCs/>
          <w:sz w:val="20"/>
          <w:szCs w:val="20"/>
        </w:rPr>
        <w:t>Inclusion Criteria</w:t>
      </w:r>
      <w:r>
        <w:rPr>
          <w:rFonts w:asciiTheme="majorBidi" w:hAnsiTheme="majorBidi" w:cstheme="majorBidi"/>
          <w:b/>
          <w:bCs/>
          <w:sz w:val="20"/>
          <w:szCs w:val="20"/>
        </w:rPr>
        <w:t xml:space="preserve">: </w:t>
      </w:r>
      <w:r w:rsidR="0094104F" w:rsidRPr="00784C4F">
        <w:rPr>
          <w:rFonts w:asciiTheme="majorBidi" w:hAnsiTheme="majorBidi" w:cstheme="majorBidi"/>
          <w:sz w:val="20"/>
          <w:szCs w:val="20"/>
        </w:rPr>
        <w:t>20-90 years age, both sexes, presenting for eye and ENT surgery.</w:t>
      </w:r>
    </w:p>
    <w:p w14:paraId="41E599EF" w14:textId="273E3523" w:rsidR="0094104F" w:rsidRPr="00784C4F" w:rsidRDefault="00911BC9" w:rsidP="00911BC9">
      <w:pPr>
        <w:widowControl w:val="0"/>
        <w:spacing w:after="0" w:line="240" w:lineRule="auto"/>
        <w:jc w:val="both"/>
        <w:rPr>
          <w:rFonts w:asciiTheme="majorBidi" w:hAnsiTheme="majorBidi" w:cstheme="majorBidi"/>
          <w:sz w:val="20"/>
          <w:szCs w:val="20"/>
        </w:rPr>
      </w:pPr>
      <w:r w:rsidRPr="00911BC9">
        <w:rPr>
          <w:rFonts w:asciiTheme="majorBidi" w:hAnsiTheme="majorBidi" w:cstheme="majorBidi"/>
          <w:b/>
          <w:bCs/>
          <w:sz w:val="20"/>
          <w:szCs w:val="20"/>
        </w:rPr>
        <w:t xml:space="preserve">Exclusion Criteria: </w:t>
      </w:r>
      <w:r w:rsidR="0094104F" w:rsidRPr="00784C4F">
        <w:rPr>
          <w:rFonts w:asciiTheme="majorBidi" w:hAnsiTheme="majorBidi" w:cstheme="majorBidi"/>
          <w:sz w:val="20"/>
          <w:szCs w:val="20"/>
        </w:rPr>
        <w:t>Seriously sick patient or terminally ill patient.</w:t>
      </w:r>
    </w:p>
    <w:p w14:paraId="204F4BCE" w14:textId="77777777" w:rsidR="0094104F" w:rsidRPr="00784C4F" w:rsidRDefault="0094104F" w:rsidP="0094104F">
      <w:pPr>
        <w:widowControl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Secondary Hypertension and pregnancy</w:t>
      </w:r>
    </w:p>
    <w:p w14:paraId="1D1BD97B" w14:textId="77777777" w:rsidR="0094104F" w:rsidRPr="00784C4F" w:rsidRDefault="0094104F" w:rsidP="0094104F">
      <w:pPr>
        <w:widowControl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Major end organ disease, liver, kidney, heart, lungs</w:t>
      </w:r>
    </w:p>
    <w:p w14:paraId="50730DA3" w14:textId="77777777" w:rsidR="0094104F" w:rsidRPr="00784C4F" w:rsidRDefault="0094104F" w:rsidP="0094104F">
      <w:pPr>
        <w:widowControl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Hypertensive urgency and emergency</w:t>
      </w:r>
    </w:p>
    <w:p w14:paraId="13D8CC28" w14:textId="3DC04876" w:rsidR="00822107" w:rsidRDefault="0094104F" w:rsidP="00887FDC">
      <w:pPr>
        <w:widowControl w:val="0"/>
        <w:spacing w:after="0" w:line="240" w:lineRule="auto"/>
        <w:jc w:val="both"/>
        <w:rPr>
          <w:rFonts w:asciiTheme="majorBidi" w:hAnsiTheme="majorBidi" w:cstheme="majorBidi"/>
          <w:sz w:val="20"/>
          <w:szCs w:val="20"/>
        </w:rPr>
      </w:pPr>
      <w:r w:rsidRPr="00106E0A">
        <w:rPr>
          <w:rFonts w:asciiTheme="majorBidi" w:hAnsiTheme="majorBidi" w:cstheme="majorBidi"/>
          <w:b/>
          <w:bCs/>
          <w:sz w:val="20"/>
          <w:szCs w:val="20"/>
        </w:rPr>
        <w:t>Sample size and sampling technique</w:t>
      </w:r>
      <w:r w:rsidR="00887FDC">
        <w:rPr>
          <w:rFonts w:asciiTheme="majorBidi" w:hAnsiTheme="majorBidi" w:cstheme="majorBidi"/>
          <w:b/>
          <w:bCs/>
          <w:sz w:val="20"/>
          <w:szCs w:val="20"/>
        </w:rPr>
        <w:t xml:space="preserve">: </w:t>
      </w:r>
      <w:r w:rsidRPr="00784C4F">
        <w:rPr>
          <w:rFonts w:asciiTheme="majorBidi" w:hAnsiTheme="majorBidi" w:cstheme="majorBidi"/>
          <w:sz w:val="20"/>
          <w:szCs w:val="20"/>
        </w:rPr>
        <w:t xml:space="preserve">A minimum sample size of 196 patients was calculated to maintain a 5 percent margin of error, a 95 percent confidence </w:t>
      </w:r>
      <w:r w:rsidRPr="00784C4F">
        <w:rPr>
          <w:rFonts w:asciiTheme="majorBidi" w:hAnsiTheme="majorBidi" w:cstheme="majorBidi"/>
          <w:sz w:val="20"/>
          <w:szCs w:val="20"/>
        </w:rPr>
        <w:lastRenderedPageBreak/>
        <w:t xml:space="preserve">interval and a 75 percent response distribution, using a </w:t>
      </w:r>
      <w:proofErr w:type="spellStart"/>
      <w:r w:rsidRPr="00784C4F">
        <w:rPr>
          <w:rFonts w:asciiTheme="majorBidi" w:hAnsiTheme="majorBidi" w:cstheme="majorBidi"/>
          <w:sz w:val="20"/>
          <w:szCs w:val="20"/>
        </w:rPr>
        <w:t>raosoft</w:t>
      </w:r>
      <w:proofErr w:type="spellEnd"/>
      <w:r w:rsidRPr="00784C4F">
        <w:rPr>
          <w:rFonts w:asciiTheme="majorBidi" w:hAnsiTheme="majorBidi" w:cstheme="majorBidi"/>
          <w:sz w:val="20"/>
          <w:szCs w:val="20"/>
        </w:rPr>
        <w:t xml:space="preserve"> sample size calculator.</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0E6E107B" w:rsidR="00822107" w:rsidRDefault="00812E28" w:rsidP="003D621F">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During the study period 288 surgeries were planned by Eye [(67%) (</w:t>
      </w:r>
      <w:proofErr w:type="gramStart"/>
      <w:r w:rsidRPr="00784C4F">
        <w:rPr>
          <w:rFonts w:asciiTheme="majorBidi" w:hAnsiTheme="majorBidi" w:cstheme="majorBidi"/>
          <w:sz w:val="20"/>
          <w:szCs w:val="20"/>
        </w:rPr>
        <w:t>n</w:t>
      </w:r>
      <w:proofErr w:type="gramEnd"/>
      <w:r w:rsidRPr="00784C4F">
        <w:rPr>
          <w:rFonts w:asciiTheme="majorBidi" w:hAnsiTheme="majorBidi" w:cstheme="majorBidi"/>
          <w:sz w:val="20"/>
          <w:szCs w:val="20"/>
        </w:rPr>
        <w:t xml:space="preserve"> 192)] </w:t>
      </w:r>
      <w:proofErr w:type="gramStart"/>
      <w:r w:rsidRPr="00784C4F">
        <w:rPr>
          <w:rFonts w:asciiTheme="majorBidi" w:hAnsiTheme="majorBidi" w:cstheme="majorBidi"/>
          <w:sz w:val="20"/>
          <w:szCs w:val="20"/>
        </w:rPr>
        <w:t>and</w:t>
      </w:r>
      <w:proofErr w:type="gramEnd"/>
      <w:r w:rsidRPr="00784C4F">
        <w:rPr>
          <w:rFonts w:asciiTheme="majorBidi" w:hAnsiTheme="majorBidi" w:cstheme="majorBidi"/>
          <w:sz w:val="20"/>
          <w:szCs w:val="20"/>
        </w:rPr>
        <w:t xml:space="preserve"> ENT [(33%) (</w:t>
      </w:r>
      <w:proofErr w:type="gramStart"/>
      <w:r w:rsidRPr="00784C4F">
        <w:rPr>
          <w:rFonts w:asciiTheme="majorBidi" w:hAnsiTheme="majorBidi" w:cstheme="majorBidi"/>
          <w:sz w:val="20"/>
          <w:szCs w:val="20"/>
        </w:rPr>
        <w:t>n</w:t>
      </w:r>
      <w:proofErr w:type="gramEnd"/>
      <w:r w:rsidRPr="00784C4F">
        <w:rPr>
          <w:rFonts w:asciiTheme="majorBidi" w:hAnsiTheme="majorBidi" w:cstheme="majorBidi"/>
          <w:sz w:val="20"/>
          <w:szCs w:val="20"/>
        </w:rPr>
        <w:t xml:space="preserve"> 96)] </w:t>
      </w:r>
      <w:proofErr w:type="gramStart"/>
      <w:r w:rsidRPr="00784C4F">
        <w:rPr>
          <w:rFonts w:asciiTheme="majorBidi" w:hAnsiTheme="majorBidi" w:cstheme="majorBidi"/>
          <w:sz w:val="20"/>
          <w:szCs w:val="20"/>
        </w:rPr>
        <w:t>Departments.</w:t>
      </w:r>
      <w:proofErr w:type="gramEnd"/>
      <w:r w:rsidRPr="00784C4F">
        <w:rPr>
          <w:rFonts w:asciiTheme="majorBidi" w:hAnsiTheme="majorBidi" w:cstheme="majorBidi"/>
          <w:sz w:val="20"/>
          <w:szCs w:val="20"/>
        </w:rPr>
        <w:t xml:space="preserve">  25% (n 72) were found to have their BP above 140/90 mmHg which raised alarm bells for the anesthesia team. These were referred to physicians for review and management. Only these 72 patients were enrolled in the study.  Out of these 42% (n 30) were known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w:t>
      </w:r>
    </w:p>
    <w:p w14:paraId="5F9BDE60" w14:textId="79AEEFE6" w:rsidR="00F736C2" w:rsidRDefault="00F736C2" w:rsidP="003D621F">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4 (5.56%) patients were below 40 years and 6 (8.33%) patients were above 80 years, there were 31 (43%) patients in both 40 to 60 and 60 to 80 years age group.</w:t>
      </w:r>
    </w:p>
    <w:p w14:paraId="5EF2DD23" w14:textId="61E3DCBD" w:rsidR="002915E1" w:rsidRDefault="00336052" w:rsidP="00144ADA">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Out of 72 patients 30 (42%) were known hypertensive and were well controlled, otherwise these wouldn’t have been given appointment for surgery.  1 (3.33%) patient was below 40 years and 2 (6.67%) patients were above 80 years, majority 17 (56.67%) were between 40 to 60 years and 2 (6.67%) were between 60 to 80 years age group. All these previously well controlled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 xml:space="preserve"> had their BP above 140/90 mmHg unexpectedly on the morning of surgery.</w:t>
      </w:r>
    </w:p>
    <w:p w14:paraId="32158D61" w14:textId="7FDD7FC0" w:rsidR="00912589" w:rsidRDefault="00912589" w:rsidP="00144ADA">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Out of these known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 xml:space="preserve">, 11 (37%) missed the morning dose of their antihypertensive medicine as they were asked to come in fasting state or as per common belief that fasting is mandatory for each surgery. The other 58%, both known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 xml:space="preserve"> and previously normotensive had clear cut evidence of anxiety manifesting as palpitation, tremors and cold sweaty palms. HTN is most prevalent in 40s through 70s, so is the </w:t>
      </w:r>
      <w:proofErr w:type="gramStart"/>
      <w:r w:rsidRPr="00784C4F">
        <w:rPr>
          <w:rFonts w:asciiTheme="majorBidi" w:hAnsiTheme="majorBidi" w:cstheme="majorBidi"/>
          <w:sz w:val="20"/>
          <w:szCs w:val="20"/>
        </w:rPr>
        <w:t>distribution in our study, 86% (N 62) were</w:t>
      </w:r>
      <w:proofErr w:type="gramEnd"/>
      <w:r w:rsidRPr="00784C4F">
        <w:rPr>
          <w:rFonts w:asciiTheme="majorBidi" w:hAnsiTheme="majorBidi" w:cstheme="majorBidi"/>
          <w:sz w:val="20"/>
          <w:szCs w:val="20"/>
        </w:rPr>
        <w:t xml:space="preserve"> in 40-80 years age group.</w:t>
      </w:r>
    </w:p>
    <w:p w14:paraId="4E39706B" w14:textId="0C9AA4B2" w:rsidR="002C3BEA" w:rsidRDefault="002C3BEA" w:rsidP="00144ADA">
      <w:pPr>
        <w:shd w:val="clear" w:color="auto" w:fill="FFFFFF"/>
        <w:spacing w:after="0" w:line="240" w:lineRule="auto"/>
        <w:jc w:val="both"/>
        <w:rPr>
          <w:rFonts w:asciiTheme="majorBidi" w:hAnsiTheme="majorBidi" w:cstheme="majorBidi"/>
          <w:sz w:val="20"/>
          <w:szCs w:val="20"/>
        </w:rPr>
      </w:pPr>
      <w:r w:rsidRPr="002C0C52">
        <w:rPr>
          <w:rFonts w:asciiTheme="majorBidi" w:hAnsiTheme="majorBidi" w:cstheme="majorBidi"/>
          <w:b/>
          <w:bCs/>
          <w:sz w:val="20"/>
          <w:szCs w:val="20"/>
        </w:rPr>
        <w:t>Statistical Analysis</w:t>
      </w:r>
      <w:r>
        <w:rPr>
          <w:rFonts w:asciiTheme="majorBidi" w:hAnsiTheme="majorBidi" w:cstheme="majorBidi"/>
          <w:b/>
          <w:bCs/>
          <w:sz w:val="20"/>
          <w:szCs w:val="20"/>
        </w:rPr>
        <w:t xml:space="preserve">: </w:t>
      </w:r>
      <w:r w:rsidRPr="00784C4F">
        <w:rPr>
          <w:rFonts w:asciiTheme="majorBidi" w:hAnsiTheme="majorBidi" w:cstheme="majorBidi"/>
          <w:sz w:val="20"/>
          <w:szCs w:val="20"/>
        </w:rPr>
        <w:t>Data analysis was conducted using Microsoft Excel version 2016 and Statistical Package for Social Sciences software version 25 (SPSS 25). Descriptive statistics (i.e. frequency distribution, percentages, mean and standard deviations) were used.</w:t>
      </w:r>
    </w:p>
    <w:p w14:paraId="16B238A6" w14:textId="77777777" w:rsidR="002915E1" w:rsidRDefault="002915E1" w:rsidP="003D621F">
      <w:pPr>
        <w:shd w:val="clear" w:color="auto" w:fill="FFFFFF"/>
        <w:spacing w:after="0" w:line="240" w:lineRule="auto"/>
        <w:jc w:val="both"/>
        <w:rPr>
          <w:rFonts w:asciiTheme="majorBidi" w:hAnsiTheme="majorBidi" w:cstheme="majorBidi"/>
          <w:sz w:val="20"/>
          <w:szCs w:val="20"/>
        </w:rPr>
        <w:sectPr w:rsidR="002915E1" w:rsidSect="0072738F">
          <w:type w:val="continuous"/>
          <w:pgSz w:w="12240" w:h="15840"/>
          <w:pgMar w:top="1080" w:right="1440" w:bottom="1440" w:left="1440" w:header="720" w:footer="720" w:gutter="0"/>
          <w:cols w:num="2" w:space="360"/>
          <w:docGrid w:linePitch="360"/>
        </w:sectPr>
      </w:pPr>
    </w:p>
    <w:p w14:paraId="261A6381" w14:textId="7CA9BC85" w:rsidR="002915E1" w:rsidRDefault="002915E1" w:rsidP="003D621F">
      <w:pPr>
        <w:shd w:val="clear" w:color="auto" w:fill="FFFFFF"/>
        <w:spacing w:after="0" w:line="240" w:lineRule="auto"/>
        <w:jc w:val="both"/>
        <w:rPr>
          <w:rFonts w:asciiTheme="majorBidi" w:hAnsiTheme="majorBidi" w:cstheme="majorBidi"/>
          <w:sz w:val="20"/>
          <w:szCs w:val="20"/>
        </w:rPr>
      </w:pPr>
    </w:p>
    <w:p w14:paraId="21A59130" w14:textId="78B47F51" w:rsidR="002915E1" w:rsidRPr="00784C4F" w:rsidRDefault="00351FC9" w:rsidP="00CB1969">
      <w:pPr>
        <w:autoSpaceDE w:val="0"/>
        <w:autoSpaceDN w:val="0"/>
        <w:adjustRightInd w:val="0"/>
        <w:spacing w:after="0" w:line="240" w:lineRule="auto"/>
        <w:jc w:val="both"/>
        <w:rPr>
          <w:rFonts w:asciiTheme="majorBidi" w:hAnsiTheme="majorBidi" w:cstheme="majorBidi"/>
          <w:b/>
          <w:sz w:val="20"/>
          <w:szCs w:val="20"/>
        </w:rPr>
      </w:pPr>
      <w:proofErr w:type="gramStart"/>
      <w:r w:rsidRPr="00784C4F">
        <w:rPr>
          <w:rFonts w:asciiTheme="majorBidi" w:hAnsiTheme="majorBidi" w:cstheme="majorBidi"/>
          <w:b/>
          <w:sz w:val="20"/>
          <w:szCs w:val="20"/>
        </w:rPr>
        <w:t xml:space="preserve">Table </w:t>
      </w:r>
      <w:r w:rsidR="00CB1969">
        <w:rPr>
          <w:rFonts w:asciiTheme="majorBidi" w:hAnsiTheme="majorBidi" w:cstheme="majorBidi"/>
          <w:b/>
          <w:sz w:val="20"/>
          <w:szCs w:val="20"/>
        </w:rPr>
        <w:t>No.</w:t>
      </w:r>
      <w:r w:rsidR="002915E1" w:rsidRPr="00784C4F">
        <w:rPr>
          <w:rFonts w:asciiTheme="majorBidi" w:hAnsiTheme="majorBidi" w:cstheme="majorBidi"/>
          <w:b/>
          <w:sz w:val="20"/>
          <w:szCs w:val="20"/>
        </w:rPr>
        <w:t>1</w:t>
      </w:r>
      <w:r w:rsidR="00CB1969">
        <w:rPr>
          <w:rFonts w:asciiTheme="majorBidi" w:hAnsiTheme="majorBidi" w:cstheme="majorBidi"/>
          <w:b/>
          <w:sz w:val="20"/>
          <w:szCs w:val="20"/>
        </w:rPr>
        <w:t>:</w:t>
      </w:r>
      <w:r w:rsidR="002915E1" w:rsidRPr="00784C4F">
        <w:rPr>
          <w:rFonts w:asciiTheme="majorBidi" w:hAnsiTheme="majorBidi" w:cstheme="majorBidi"/>
          <w:b/>
          <w:sz w:val="20"/>
          <w:szCs w:val="20"/>
        </w:rPr>
        <w:t xml:space="preserve"> Demographic features.</w:t>
      </w:r>
      <w:proofErr w:type="gramEnd"/>
      <w:r w:rsidR="002915E1" w:rsidRPr="00784C4F">
        <w:rPr>
          <w:rFonts w:asciiTheme="majorBidi" w:hAnsiTheme="majorBidi" w:cstheme="majorBidi"/>
          <w:b/>
          <w:sz w:val="20"/>
          <w:szCs w:val="20"/>
        </w:rPr>
        <w:t xml:space="preserve"> </w:t>
      </w:r>
      <w:proofErr w:type="gramStart"/>
      <w:r w:rsidR="002915E1" w:rsidRPr="00784C4F">
        <w:rPr>
          <w:rFonts w:asciiTheme="majorBidi" w:hAnsiTheme="majorBidi" w:cstheme="majorBidi"/>
          <w:b/>
          <w:sz w:val="20"/>
          <w:szCs w:val="20"/>
        </w:rPr>
        <w:t>n</w:t>
      </w:r>
      <w:proofErr w:type="gramEnd"/>
      <w:r w:rsidR="002915E1" w:rsidRPr="00784C4F">
        <w:rPr>
          <w:rFonts w:asciiTheme="majorBidi" w:hAnsiTheme="majorBidi" w:cstheme="majorBidi"/>
          <w:b/>
          <w:sz w:val="20"/>
          <w:szCs w:val="20"/>
        </w:rPr>
        <w:t xml:space="preserve"> 72</w:t>
      </w:r>
    </w:p>
    <w:tbl>
      <w:tblPr>
        <w:tblStyle w:val="TableGrid"/>
        <w:tblW w:w="0" w:type="auto"/>
        <w:tblInd w:w="108" w:type="dxa"/>
        <w:tblLook w:val="04A0" w:firstRow="1" w:lastRow="0" w:firstColumn="1" w:lastColumn="0" w:noHBand="0" w:noVBand="1"/>
      </w:tblPr>
      <w:tblGrid>
        <w:gridCol w:w="1807"/>
        <w:gridCol w:w="1915"/>
        <w:gridCol w:w="1915"/>
        <w:gridCol w:w="1915"/>
        <w:gridCol w:w="1808"/>
      </w:tblGrid>
      <w:tr w:rsidR="002915E1" w:rsidRPr="00784C4F" w14:paraId="6ABE1F3C" w14:textId="77777777" w:rsidTr="005B7851">
        <w:tc>
          <w:tcPr>
            <w:tcW w:w="1807" w:type="dxa"/>
            <w:tcBorders>
              <w:top w:val="single" w:sz="4" w:space="0" w:color="auto"/>
              <w:left w:val="single" w:sz="4" w:space="0" w:color="auto"/>
              <w:bottom w:val="single" w:sz="4" w:space="0" w:color="auto"/>
              <w:right w:val="single" w:sz="4" w:space="0" w:color="auto"/>
            </w:tcBorders>
            <w:hideMark/>
          </w:tcPr>
          <w:p w14:paraId="67BFA28C" w14:textId="4FF0A719" w:rsidR="002915E1" w:rsidRPr="00784C4F" w:rsidRDefault="00C27EFD"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Age</w:t>
            </w:r>
          </w:p>
        </w:tc>
        <w:tc>
          <w:tcPr>
            <w:tcW w:w="1915" w:type="dxa"/>
            <w:tcBorders>
              <w:top w:val="single" w:sz="4" w:space="0" w:color="auto"/>
              <w:left w:val="single" w:sz="4" w:space="0" w:color="auto"/>
              <w:bottom w:val="single" w:sz="4" w:space="0" w:color="auto"/>
              <w:right w:val="single" w:sz="4" w:space="0" w:color="auto"/>
            </w:tcBorders>
            <w:hideMark/>
          </w:tcPr>
          <w:p w14:paraId="42B6F097" w14:textId="77777777" w:rsidR="00580FAE" w:rsidRDefault="002915E1" w:rsidP="00111817">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EYE</w:t>
            </w:r>
            <w:r w:rsidR="00111817">
              <w:rPr>
                <w:rFonts w:asciiTheme="majorBidi" w:hAnsiTheme="majorBidi" w:cstheme="majorBidi"/>
                <w:sz w:val="20"/>
                <w:szCs w:val="20"/>
              </w:rPr>
              <w:t xml:space="preserve"> </w:t>
            </w:r>
          </w:p>
          <w:p w14:paraId="4A9DB354" w14:textId="7F38AAFE" w:rsidR="002915E1" w:rsidRPr="00784C4F" w:rsidRDefault="00111817" w:rsidP="00111817">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002915E1" w:rsidRPr="00784C4F">
              <w:rPr>
                <w:rFonts w:asciiTheme="majorBidi" w:hAnsiTheme="majorBidi" w:cstheme="majorBidi"/>
                <w:sz w:val="20"/>
                <w:szCs w:val="20"/>
              </w:rPr>
              <w:t>MALES</w:t>
            </w:r>
            <w:r w:rsidR="00C20BEE">
              <w:rPr>
                <w:rFonts w:asciiTheme="majorBidi" w:hAnsiTheme="majorBidi" w:cstheme="majorBidi"/>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3C04BFD2" w14:textId="77777777" w:rsidR="00580FAE" w:rsidRDefault="002915E1" w:rsidP="00C20BEE">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EYE</w:t>
            </w:r>
            <w:r w:rsidR="00C20BEE">
              <w:rPr>
                <w:rFonts w:asciiTheme="majorBidi" w:hAnsiTheme="majorBidi" w:cstheme="majorBidi"/>
                <w:sz w:val="20"/>
                <w:szCs w:val="20"/>
              </w:rPr>
              <w:t xml:space="preserve"> </w:t>
            </w:r>
          </w:p>
          <w:p w14:paraId="492A58A7" w14:textId="1D3FA459" w:rsidR="002915E1" w:rsidRPr="00784C4F" w:rsidRDefault="00C20BEE" w:rsidP="00C20BEE">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002915E1" w:rsidRPr="00784C4F">
              <w:rPr>
                <w:rFonts w:asciiTheme="majorBidi" w:hAnsiTheme="majorBidi" w:cstheme="majorBidi"/>
                <w:sz w:val="20"/>
                <w:szCs w:val="20"/>
              </w:rPr>
              <w:t>FEMALES</w:t>
            </w:r>
            <w:r>
              <w:rPr>
                <w:rFonts w:asciiTheme="majorBidi" w:hAnsiTheme="majorBidi" w:cstheme="majorBidi"/>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2D90A1A1" w14:textId="77777777" w:rsidR="00580FAE" w:rsidRDefault="002915E1" w:rsidP="002402B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ENT</w:t>
            </w:r>
            <w:r w:rsidR="002402BA">
              <w:rPr>
                <w:rFonts w:asciiTheme="majorBidi" w:hAnsiTheme="majorBidi" w:cstheme="majorBidi"/>
                <w:sz w:val="20"/>
                <w:szCs w:val="20"/>
              </w:rPr>
              <w:t xml:space="preserve"> </w:t>
            </w:r>
          </w:p>
          <w:p w14:paraId="76A70A62" w14:textId="20957947" w:rsidR="002915E1" w:rsidRPr="00784C4F" w:rsidRDefault="002402BA" w:rsidP="002402B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002915E1" w:rsidRPr="00784C4F">
              <w:rPr>
                <w:rFonts w:asciiTheme="majorBidi" w:hAnsiTheme="majorBidi" w:cstheme="majorBidi"/>
                <w:sz w:val="20"/>
                <w:szCs w:val="20"/>
              </w:rPr>
              <w:t>MALES</w:t>
            </w:r>
            <w:r>
              <w:rPr>
                <w:rFonts w:asciiTheme="majorBidi" w:hAnsiTheme="majorBidi" w:cstheme="majorBidi"/>
                <w:sz w:val="20"/>
                <w:szCs w:val="20"/>
              </w:rPr>
              <w:t>)</w:t>
            </w:r>
          </w:p>
        </w:tc>
        <w:tc>
          <w:tcPr>
            <w:tcW w:w="1808" w:type="dxa"/>
            <w:tcBorders>
              <w:top w:val="single" w:sz="4" w:space="0" w:color="auto"/>
              <w:left w:val="single" w:sz="4" w:space="0" w:color="auto"/>
              <w:bottom w:val="single" w:sz="4" w:space="0" w:color="auto"/>
              <w:right w:val="single" w:sz="4" w:space="0" w:color="auto"/>
            </w:tcBorders>
            <w:hideMark/>
          </w:tcPr>
          <w:p w14:paraId="215A5FD4" w14:textId="77777777" w:rsidR="00580FAE" w:rsidRDefault="002915E1" w:rsidP="002402B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ENT </w:t>
            </w:r>
          </w:p>
          <w:p w14:paraId="018F1FA8" w14:textId="231B02FC" w:rsidR="002915E1" w:rsidRPr="00784C4F" w:rsidRDefault="002402BA" w:rsidP="002402B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002915E1" w:rsidRPr="00784C4F">
              <w:rPr>
                <w:rFonts w:asciiTheme="majorBidi" w:hAnsiTheme="majorBidi" w:cstheme="majorBidi"/>
                <w:sz w:val="20"/>
                <w:szCs w:val="20"/>
              </w:rPr>
              <w:t>FEMALES</w:t>
            </w:r>
            <w:r w:rsidR="00F762CD">
              <w:rPr>
                <w:rFonts w:asciiTheme="majorBidi" w:hAnsiTheme="majorBidi" w:cstheme="majorBidi"/>
                <w:sz w:val="20"/>
                <w:szCs w:val="20"/>
              </w:rPr>
              <w:t>)</w:t>
            </w:r>
          </w:p>
        </w:tc>
      </w:tr>
      <w:tr w:rsidR="002915E1" w:rsidRPr="00784C4F" w14:paraId="0FC4A13E" w14:textId="77777777" w:rsidTr="005B7851">
        <w:tc>
          <w:tcPr>
            <w:tcW w:w="1807" w:type="dxa"/>
            <w:tcBorders>
              <w:top w:val="single" w:sz="4" w:space="0" w:color="auto"/>
              <w:left w:val="single" w:sz="4" w:space="0" w:color="auto"/>
              <w:bottom w:val="single" w:sz="4" w:space="0" w:color="auto"/>
              <w:right w:val="single" w:sz="4" w:space="0" w:color="auto"/>
            </w:tcBorders>
            <w:hideMark/>
          </w:tcPr>
          <w:p w14:paraId="1AC136C6"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&lt; 40</w:t>
            </w:r>
          </w:p>
        </w:tc>
        <w:tc>
          <w:tcPr>
            <w:tcW w:w="1915" w:type="dxa"/>
            <w:tcBorders>
              <w:top w:val="single" w:sz="4" w:space="0" w:color="auto"/>
              <w:left w:val="single" w:sz="4" w:space="0" w:color="auto"/>
              <w:bottom w:val="single" w:sz="4" w:space="0" w:color="auto"/>
              <w:right w:val="single" w:sz="4" w:space="0" w:color="auto"/>
            </w:tcBorders>
            <w:hideMark/>
          </w:tcPr>
          <w:p w14:paraId="33911770" w14:textId="57C67CD7" w:rsidR="002915E1" w:rsidRPr="00784C4F" w:rsidRDefault="002915E1" w:rsidP="00996473">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(2.16%)</w:t>
            </w:r>
          </w:p>
        </w:tc>
        <w:tc>
          <w:tcPr>
            <w:tcW w:w="1915" w:type="dxa"/>
            <w:tcBorders>
              <w:top w:val="single" w:sz="4" w:space="0" w:color="auto"/>
              <w:left w:val="single" w:sz="4" w:space="0" w:color="auto"/>
              <w:bottom w:val="single" w:sz="4" w:space="0" w:color="auto"/>
              <w:right w:val="single" w:sz="4" w:space="0" w:color="auto"/>
            </w:tcBorders>
            <w:hideMark/>
          </w:tcPr>
          <w:p w14:paraId="603CF56F" w14:textId="74B01819"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r w:rsidR="00996473">
              <w:rPr>
                <w:rFonts w:asciiTheme="majorBidi" w:hAnsiTheme="majorBidi" w:cstheme="majorBidi"/>
                <w:sz w:val="20"/>
                <w:szCs w:val="20"/>
              </w:rPr>
              <w:t xml:space="preserve"> </w:t>
            </w:r>
          </w:p>
        </w:tc>
        <w:tc>
          <w:tcPr>
            <w:tcW w:w="1915" w:type="dxa"/>
            <w:tcBorders>
              <w:top w:val="single" w:sz="4" w:space="0" w:color="auto"/>
              <w:left w:val="single" w:sz="4" w:space="0" w:color="auto"/>
              <w:bottom w:val="single" w:sz="4" w:space="0" w:color="auto"/>
              <w:right w:val="single" w:sz="4" w:space="0" w:color="auto"/>
            </w:tcBorders>
            <w:hideMark/>
          </w:tcPr>
          <w:p w14:paraId="1DA08F30"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808" w:type="dxa"/>
            <w:tcBorders>
              <w:top w:val="single" w:sz="4" w:space="0" w:color="auto"/>
              <w:left w:val="single" w:sz="4" w:space="0" w:color="auto"/>
              <w:bottom w:val="single" w:sz="4" w:space="0" w:color="auto"/>
              <w:right w:val="single" w:sz="4" w:space="0" w:color="auto"/>
            </w:tcBorders>
            <w:hideMark/>
          </w:tcPr>
          <w:p w14:paraId="62B9DF9E" w14:textId="229968AD" w:rsidR="002915E1" w:rsidRPr="00784C4F" w:rsidRDefault="002915E1" w:rsidP="00996473">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 (1.39%)</w:t>
            </w:r>
          </w:p>
        </w:tc>
      </w:tr>
      <w:tr w:rsidR="002915E1" w:rsidRPr="00784C4F" w14:paraId="14569173" w14:textId="77777777" w:rsidTr="005B7851">
        <w:tc>
          <w:tcPr>
            <w:tcW w:w="1807" w:type="dxa"/>
            <w:tcBorders>
              <w:top w:val="single" w:sz="4" w:space="0" w:color="auto"/>
              <w:left w:val="single" w:sz="4" w:space="0" w:color="auto"/>
              <w:bottom w:val="single" w:sz="4" w:space="0" w:color="auto"/>
              <w:right w:val="single" w:sz="4" w:space="0" w:color="auto"/>
            </w:tcBorders>
            <w:hideMark/>
          </w:tcPr>
          <w:p w14:paraId="056A9022"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40-60</w:t>
            </w:r>
          </w:p>
        </w:tc>
        <w:tc>
          <w:tcPr>
            <w:tcW w:w="1915" w:type="dxa"/>
            <w:tcBorders>
              <w:top w:val="single" w:sz="4" w:space="0" w:color="auto"/>
              <w:left w:val="single" w:sz="4" w:space="0" w:color="auto"/>
              <w:bottom w:val="single" w:sz="4" w:space="0" w:color="auto"/>
              <w:right w:val="single" w:sz="4" w:space="0" w:color="auto"/>
            </w:tcBorders>
            <w:hideMark/>
          </w:tcPr>
          <w:p w14:paraId="71CEC50A" w14:textId="6412311E" w:rsidR="002915E1" w:rsidRPr="00784C4F" w:rsidRDefault="002915E1" w:rsidP="00E4780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n13 (18.05%)</w:t>
            </w:r>
          </w:p>
        </w:tc>
        <w:tc>
          <w:tcPr>
            <w:tcW w:w="1915" w:type="dxa"/>
            <w:tcBorders>
              <w:top w:val="single" w:sz="4" w:space="0" w:color="auto"/>
              <w:left w:val="single" w:sz="4" w:space="0" w:color="auto"/>
              <w:bottom w:val="single" w:sz="4" w:space="0" w:color="auto"/>
              <w:right w:val="single" w:sz="4" w:space="0" w:color="auto"/>
            </w:tcBorders>
            <w:hideMark/>
          </w:tcPr>
          <w:p w14:paraId="10ECF7E8" w14:textId="6C5C0F8C" w:rsidR="002915E1" w:rsidRPr="00784C4F" w:rsidRDefault="002915E1" w:rsidP="006A322C">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n10 (13.89%)</w:t>
            </w:r>
          </w:p>
        </w:tc>
        <w:tc>
          <w:tcPr>
            <w:tcW w:w="1915" w:type="dxa"/>
            <w:tcBorders>
              <w:top w:val="single" w:sz="4" w:space="0" w:color="auto"/>
              <w:left w:val="single" w:sz="4" w:space="0" w:color="auto"/>
              <w:bottom w:val="single" w:sz="4" w:space="0" w:color="auto"/>
              <w:right w:val="single" w:sz="4" w:space="0" w:color="auto"/>
            </w:tcBorders>
            <w:hideMark/>
          </w:tcPr>
          <w:p w14:paraId="0F918A96" w14:textId="0B9770D3" w:rsidR="002915E1" w:rsidRPr="00784C4F" w:rsidRDefault="002915E1" w:rsidP="00E2642B">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n5 (6.94%)</w:t>
            </w:r>
          </w:p>
        </w:tc>
        <w:tc>
          <w:tcPr>
            <w:tcW w:w="1808" w:type="dxa"/>
            <w:tcBorders>
              <w:top w:val="single" w:sz="4" w:space="0" w:color="auto"/>
              <w:left w:val="single" w:sz="4" w:space="0" w:color="auto"/>
              <w:bottom w:val="single" w:sz="4" w:space="0" w:color="auto"/>
              <w:right w:val="single" w:sz="4" w:space="0" w:color="auto"/>
            </w:tcBorders>
            <w:hideMark/>
          </w:tcPr>
          <w:p w14:paraId="5463D105" w14:textId="5F3CC613" w:rsidR="002915E1" w:rsidRPr="00784C4F" w:rsidRDefault="002915E1" w:rsidP="007167E1">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(2.16%)</w:t>
            </w:r>
          </w:p>
        </w:tc>
      </w:tr>
      <w:tr w:rsidR="002915E1" w:rsidRPr="00784C4F" w14:paraId="6E940EA0" w14:textId="77777777" w:rsidTr="005B7851">
        <w:tc>
          <w:tcPr>
            <w:tcW w:w="1807" w:type="dxa"/>
            <w:tcBorders>
              <w:top w:val="single" w:sz="4" w:space="0" w:color="auto"/>
              <w:left w:val="single" w:sz="4" w:space="0" w:color="auto"/>
              <w:bottom w:val="single" w:sz="4" w:space="0" w:color="auto"/>
              <w:right w:val="single" w:sz="4" w:space="0" w:color="auto"/>
            </w:tcBorders>
            <w:hideMark/>
          </w:tcPr>
          <w:p w14:paraId="58169A14"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60-80</w:t>
            </w:r>
          </w:p>
        </w:tc>
        <w:tc>
          <w:tcPr>
            <w:tcW w:w="1915" w:type="dxa"/>
            <w:tcBorders>
              <w:top w:val="single" w:sz="4" w:space="0" w:color="auto"/>
              <w:left w:val="single" w:sz="4" w:space="0" w:color="auto"/>
              <w:bottom w:val="single" w:sz="4" w:space="0" w:color="auto"/>
              <w:right w:val="single" w:sz="4" w:space="0" w:color="auto"/>
            </w:tcBorders>
            <w:hideMark/>
          </w:tcPr>
          <w:p w14:paraId="0C763A15" w14:textId="6D75A7F3" w:rsidR="002915E1" w:rsidRPr="00784C4F" w:rsidRDefault="002915E1" w:rsidP="00C0072D">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n16 (22.22%)</w:t>
            </w:r>
          </w:p>
        </w:tc>
        <w:tc>
          <w:tcPr>
            <w:tcW w:w="1915" w:type="dxa"/>
            <w:tcBorders>
              <w:top w:val="single" w:sz="4" w:space="0" w:color="auto"/>
              <w:left w:val="single" w:sz="4" w:space="0" w:color="auto"/>
              <w:bottom w:val="single" w:sz="4" w:space="0" w:color="auto"/>
              <w:right w:val="single" w:sz="4" w:space="0" w:color="auto"/>
            </w:tcBorders>
            <w:hideMark/>
          </w:tcPr>
          <w:p w14:paraId="240FA111" w14:textId="55B905BE" w:rsidR="002915E1" w:rsidRPr="00784C4F" w:rsidRDefault="002915E1" w:rsidP="00C0072D">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n10 (13.89%)</w:t>
            </w:r>
          </w:p>
        </w:tc>
        <w:tc>
          <w:tcPr>
            <w:tcW w:w="1915" w:type="dxa"/>
            <w:tcBorders>
              <w:top w:val="single" w:sz="4" w:space="0" w:color="auto"/>
              <w:left w:val="single" w:sz="4" w:space="0" w:color="auto"/>
              <w:bottom w:val="single" w:sz="4" w:space="0" w:color="auto"/>
              <w:right w:val="single" w:sz="4" w:space="0" w:color="auto"/>
            </w:tcBorders>
            <w:hideMark/>
          </w:tcPr>
          <w:p w14:paraId="2D68561E" w14:textId="361E3C97" w:rsidR="002915E1" w:rsidRPr="00784C4F" w:rsidRDefault="002915E1" w:rsidP="00C0072D">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(2.16%)</w:t>
            </w:r>
          </w:p>
        </w:tc>
        <w:tc>
          <w:tcPr>
            <w:tcW w:w="1808" w:type="dxa"/>
            <w:tcBorders>
              <w:top w:val="single" w:sz="4" w:space="0" w:color="auto"/>
              <w:left w:val="single" w:sz="4" w:space="0" w:color="auto"/>
              <w:bottom w:val="single" w:sz="4" w:space="0" w:color="auto"/>
              <w:right w:val="single" w:sz="4" w:space="0" w:color="auto"/>
            </w:tcBorders>
            <w:hideMark/>
          </w:tcPr>
          <w:p w14:paraId="572CD92A" w14:textId="41073C48" w:rsidR="002915E1" w:rsidRPr="00784C4F" w:rsidRDefault="002915E1" w:rsidP="00C0072D">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n2 (2.78%)</w:t>
            </w:r>
          </w:p>
        </w:tc>
      </w:tr>
      <w:tr w:rsidR="002915E1" w:rsidRPr="00784C4F" w14:paraId="4AB04EE1" w14:textId="77777777" w:rsidTr="005B7851">
        <w:tc>
          <w:tcPr>
            <w:tcW w:w="1807" w:type="dxa"/>
            <w:tcBorders>
              <w:top w:val="single" w:sz="4" w:space="0" w:color="auto"/>
              <w:left w:val="single" w:sz="4" w:space="0" w:color="auto"/>
              <w:bottom w:val="single" w:sz="4" w:space="0" w:color="auto"/>
              <w:right w:val="single" w:sz="4" w:space="0" w:color="auto"/>
            </w:tcBorders>
            <w:hideMark/>
          </w:tcPr>
          <w:p w14:paraId="4101FF52"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&gt;80</w:t>
            </w:r>
          </w:p>
        </w:tc>
        <w:tc>
          <w:tcPr>
            <w:tcW w:w="1915" w:type="dxa"/>
            <w:tcBorders>
              <w:top w:val="single" w:sz="4" w:space="0" w:color="auto"/>
              <w:left w:val="single" w:sz="4" w:space="0" w:color="auto"/>
              <w:bottom w:val="single" w:sz="4" w:space="0" w:color="auto"/>
              <w:right w:val="single" w:sz="4" w:space="0" w:color="auto"/>
            </w:tcBorders>
            <w:hideMark/>
          </w:tcPr>
          <w:p w14:paraId="04ACB58C"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n4 (5.56%)</w:t>
            </w:r>
          </w:p>
        </w:tc>
        <w:tc>
          <w:tcPr>
            <w:tcW w:w="1915" w:type="dxa"/>
            <w:tcBorders>
              <w:top w:val="single" w:sz="4" w:space="0" w:color="auto"/>
              <w:left w:val="single" w:sz="4" w:space="0" w:color="auto"/>
              <w:bottom w:val="single" w:sz="4" w:space="0" w:color="auto"/>
              <w:right w:val="single" w:sz="4" w:space="0" w:color="auto"/>
            </w:tcBorders>
            <w:hideMark/>
          </w:tcPr>
          <w:p w14:paraId="70BD7DA5"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915" w:type="dxa"/>
            <w:tcBorders>
              <w:top w:val="single" w:sz="4" w:space="0" w:color="auto"/>
              <w:left w:val="single" w:sz="4" w:space="0" w:color="auto"/>
              <w:bottom w:val="single" w:sz="4" w:space="0" w:color="auto"/>
              <w:right w:val="single" w:sz="4" w:space="0" w:color="auto"/>
            </w:tcBorders>
            <w:hideMark/>
          </w:tcPr>
          <w:p w14:paraId="308A0F37"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n2 (2.78%)</w:t>
            </w:r>
          </w:p>
        </w:tc>
        <w:tc>
          <w:tcPr>
            <w:tcW w:w="1808" w:type="dxa"/>
            <w:tcBorders>
              <w:top w:val="single" w:sz="4" w:space="0" w:color="auto"/>
              <w:left w:val="single" w:sz="4" w:space="0" w:color="auto"/>
              <w:bottom w:val="single" w:sz="4" w:space="0" w:color="auto"/>
              <w:right w:val="single" w:sz="4" w:space="0" w:color="auto"/>
            </w:tcBorders>
            <w:hideMark/>
          </w:tcPr>
          <w:p w14:paraId="3B767697" w14:textId="77777777" w:rsidR="002915E1" w:rsidRPr="00784C4F" w:rsidRDefault="002915E1"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r>
    </w:tbl>
    <w:p w14:paraId="2ADB852E" w14:textId="79D9FD82" w:rsidR="00C11AFA" w:rsidRPr="00784C4F" w:rsidRDefault="006E7792" w:rsidP="009C1CAF">
      <w:pPr>
        <w:autoSpaceDE w:val="0"/>
        <w:autoSpaceDN w:val="0"/>
        <w:adjustRightInd w:val="0"/>
        <w:spacing w:before="120" w:after="0" w:line="240" w:lineRule="auto"/>
        <w:jc w:val="both"/>
        <w:rPr>
          <w:rFonts w:asciiTheme="majorBidi" w:hAnsiTheme="majorBidi" w:cstheme="majorBidi"/>
          <w:b/>
          <w:sz w:val="20"/>
          <w:szCs w:val="20"/>
        </w:rPr>
      </w:pPr>
      <w:r w:rsidRPr="00784C4F">
        <w:rPr>
          <w:rFonts w:asciiTheme="majorBidi" w:hAnsiTheme="majorBidi" w:cstheme="majorBidi"/>
          <w:b/>
          <w:sz w:val="20"/>
          <w:szCs w:val="20"/>
        </w:rPr>
        <w:t>Table</w:t>
      </w:r>
      <w:r w:rsidR="00420EE2">
        <w:rPr>
          <w:rFonts w:asciiTheme="majorBidi" w:hAnsiTheme="majorBidi" w:cstheme="majorBidi"/>
          <w:b/>
          <w:sz w:val="20"/>
          <w:szCs w:val="20"/>
        </w:rPr>
        <w:t xml:space="preserve"> No.</w:t>
      </w:r>
      <w:r w:rsidR="00C11AFA" w:rsidRPr="00784C4F">
        <w:rPr>
          <w:rFonts w:asciiTheme="majorBidi" w:hAnsiTheme="majorBidi" w:cstheme="majorBidi"/>
          <w:b/>
          <w:sz w:val="20"/>
          <w:szCs w:val="20"/>
        </w:rPr>
        <w:t xml:space="preserve"> 2</w:t>
      </w:r>
      <w:r w:rsidR="00420EE2">
        <w:rPr>
          <w:rFonts w:asciiTheme="majorBidi" w:hAnsiTheme="majorBidi" w:cstheme="majorBidi"/>
          <w:b/>
          <w:sz w:val="20"/>
          <w:szCs w:val="20"/>
        </w:rPr>
        <w:t>:</w:t>
      </w:r>
      <w:r w:rsidR="00C11AFA" w:rsidRPr="00784C4F">
        <w:rPr>
          <w:rFonts w:asciiTheme="majorBidi" w:hAnsiTheme="majorBidi" w:cstheme="majorBidi"/>
          <w:b/>
          <w:sz w:val="20"/>
          <w:szCs w:val="20"/>
        </w:rPr>
        <w:t xml:space="preserve"> Known hypertensive.  42% (n30)</w:t>
      </w:r>
    </w:p>
    <w:tbl>
      <w:tblPr>
        <w:tblStyle w:val="TableGrid"/>
        <w:tblW w:w="0" w:type="auto"/>
        <w:tblInd w:w="108" w:type="dxa"/>
        <w:tblLook w:val="04A0" w:firstRow="1" w:lastRow="0" w:firstColumn="1" w:lastColumn="0" w:noHBand="0" w:noVBand="1"/>
      </w:tblPr>
      <w:tblGrid>
        <w:gridCol w:w="1807"/>
        <w:gridCol w:w="1915"/>
        <w:gridCol w:w="1915"/>
        <w:gridCol w:w="1915"/>
        <w:gridCol w:w="1808"/>
      </w:tblGrid>
      <w:tr w:rsidR="00F25527" w:rsidRPr="00784C4F" w14:paraId="570A6B77" w14:textId="77777777" w:rsidTr="00FA13E4">
        <w:tc>
          <w:tcPr>
            <w:tcW w:w="1807" w:type="dxa"/>
            <w:tcBorders>
              <w:top w:val="single" w:sz="4" w:space="0" w:color="auto"/>
              <w:left w:val="single" w:sz="4" w:space="0" w:color="auto"/>
              <w:bottom w:val="single" w:sz="4" w:space="0" w:color="auto"/>
              <w:right w:val="single" w:sz="4" w:space="0" w:color="auto"/>
            </w:tcBorders>
          </w:tcPr>
          <w:p w14:paraId="4290FBEB" w14:textId="77777777" w:rsidR="00F25527" w:rsidRPr="00784C4F" w:rsidRDefault="00F25527" w:rsidP="0099081A">
            <w:pPr>
              <w:autoSpaceDE w:val="0"/>
              <w:autoSpaceDN w:val="0"/>
              <w:adjustRightInd w:val="0"/>
              <w:spacing w:after="0" w:line="240" w:lineRule="auto"/>
              <w:jc w:val="both"/>
              <w:rPr>
                <w:rFonts w:asciiTheme="majorBidi" w:hAnsiTheme="majorBidi" w:cstheme="majorBidi"/>
                <w:sz w:val="20"/>
                <w:szCs w:val="20"/>
              </w:rPr>
            </w:pPr>
          </w:p>
        </w:tc>
        <w:tc>
          <w:tcPr>
            <w:tcW w:w="1915" w:type="dxa"/>
            <w:tcBorders>
              <w:top w:val="single" w:sz="4" w:space="0" w:color="auto"/>
              <w:left w:val="single" w:sz="4" w:space="0" w:color="auto"/>
              <w:bottom w:val="single" w:sz="4" w:space="0" w:color="auto"/>
              <w:right w:val="single" w:sz="4" w:space="0" w:color="auto"/>
            </w:tcBorders>
            <w:hideMark/>
          </w:tcPr>
          <w:p w14:paraId="41054B8D" w14:textId="77777777" w:rsidR="00460B7C" w:rsidRDefault="00F25527"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EYE</w:t>
            </w:r>
            <w:r>
              <w:rPr>
                <w:rFonts w:asciiTheme="majorBidi" w:hAnsiTheme="majorBidi" w:cstheme="majorBidi"/>
                <w:sz w:val="20"/>
                <w:szCs w:val="20"/>
              </w:rPr>
              <w:t xml:space="preserve"> </w:t>
            </w:r>
          </w:p>
          <w:p w14:paraId="31577C3A" w14:textId="03303CB0" w:rsidR="00F25527" w:rsidRPr="00784C4F" w:rsidRDefault="00F25527"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MALES</w:t>
            </w:r>
            <w:r>
              <w:rPr>
                <w:rFonts w:asciiTheme="majorBidi" w:hAnsiTheme="majorBidi" w:cstheme="majorBidi"/>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6C94E4F5" w14:textId="77777777" w:rsidR="00460B7C" w:rsidRDefault="00F25527"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EYE</w:t>
            </w:r>
            <w:r>
              <w:rPr>
                <w:rFonts w:asciiTheme="majorBidi" w:hAnsiTheme="majorBidi" w:cstheme="majorBidi"/>
                <w:sz w:val="20"/>
                <w:szCs w:val="20"/>
              </w:rPr>
              <w:t xml:space="preserve"> </w:t>
            </w:r>
          </w:p>
          <w:p w14:paraId="7D875121" w14:textId="27206D9D" w:rsidR="00F25527" w:rsidRPr="00784C4F" w:rsidRDefault="00F25527"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FEMALES</w:t>
            </w:r>
            <w:r>
              <w:rPr>
                <w:rFonts w:asciiTheme="majorBidi" w:hAnsiTheme="majorBidi" w:cstheme="majorBidi"/>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2621365B" w14:textId="77777777" w:rsidR="00690861" w:rsidRDefault="00F25527"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ENT</w:t>
            </w:r>
            <w:r>
              <w:rPr>
                <w:rFonts w:asciiTheme="majorBidi" w:hAnsiTheme="majorBidi" w:cstheme="majorBidi"/>
                <w:sz w:val="20"/>
                <w:szCs w:val="20"/>
              </w:rPr>
              <w:t xml:space="preserve"> </w:t>
            </w:r>
          </w:p>
          <w:p w14:paraId="01A4748D" w14:textId="632F0996" w:rsidR="00F25527" w:rsidRPr="00784C4F" w:rsidRDefault="00F25527"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MALES</w:t>
            </w:r>
            <w:r>
              <w:rPr>
                <w:rFonts w:asciiTheme="majorBidi" w:hAnsiTheme="majorBidi" w:cstheme="majorBidi"/>
                <w:sz w:val="20"/>
                <w:szCs w:val="20"/>
              </w:rPr>
              <w:t>)</w:t>
            </w:r>
          </w:p>
        </w:tc>
        <w:tc>
          <w:tcPr>
            <w:tcW w:w="1808" w:type="dxa"/>
            <w:tcBorders>
              <w:top w:val="single" w:sz="4" w:space="0" w:color="auto"/>
              <w:left w:val="single" w:sz="4" w:space="0" w:color="auto"/>
              <w:bottom w:val="single" w:sz="4" w:space="0" w:color="auto"/>
              <w:right w:val="single" w:sz="4" w:space="0" w:color="auto"/>
            </w:tcBorders>
            <w:hideMark/>
          </w:tcPr>
          <w:p w14:paraId="25F78702" w14:textId="77777777" w:rsidR="00E859A0" w:rsidRDefault="00F25527"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ENT </w:t>
            </w:r>
          </w:p>
          <w:p w14:paraId="3C565512" w14:textId="24031E50" w:rsidR="00F25527" w:rsidRPr="00784C4F" w:rsidRDefault="00F25527"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FEMALES</w:t>
            </w:r>
            <w:r>
              <w:rPr>
                <w:rFonts w:asciiTheme="majorBidi" w:hAnsiTheme="majorBidi" w:cstheme="majorBidi"/>
                <w:sz w:val="20"/>
                <w:szCs w:val="20"/>
              </w:rPr>
              <w:t>)</w:t>
            </w:r>
          </w:p>
        </w:tc>
      </w:tr>
      <w:tr w:rsidR="00C11AFA" w:rsidRPr="00784C4F" w14:paraId="5D57417A" w14:textId="77777777" w:rsidTr="00FA13E4">
        <w:tc>
          <w:tcPr>
            <w:tcW w:w="1807" w:type="dxa"/>
            <w:tcBorders>
              <w:top w:val="single" w:sz="4" w:space="0" w:color="auto"/>
              <w:left w:val="single" w:sz="4" w:space="0" w:color="auto"/>
              <w:bottom w:val="single" w:sz="4" w:space="0" w:color="auto"/>
              <w:right w:val="single" w:sz="4" w:space="0" w:color="auto"/>
            </w:tcBorders>
            <w:hideMark/>
          </w:tcPr>
          <w:p w14:paraId="45C9A72C"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&lt; 40</w:t>
            </w:r>
          </w:p>
        </w:tc>
        <w:tc>
          <w:tcPr>
            <w:tcW w:w="1915" w:type="dxa"/>
            <w:tcBorders>
              <w:top w:val="single" w:sz="4" w:space="0" w:color="auto"/>
              <w:left w:val="single" w:sz="4" w:space="0" w:color="auto"/>
              <w:bottom w:val="single" w:sz="4" w:space="0" w:color="auto"/>
              <w:right w:val="single" w:sz="4" w:space="0" w:color="auto"/>
            </w:tcBorders>
            <w:hideMark/>
          </w:tcPr>
          <w:p w14:paraId="641F0EE3"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915" w:type="dxa"/>
            <w:tcBorders>
              <w:top w:val="single" w:sz="4" w:space="0" w:color="auto"/>
              <w:left w:val="single" w:sz="4" w:space="0" w:color="auto"/>
              <w:bottom w:val="single" w:sz="4" w:space="0" w:color="auto"/>
              <w:right w:val="single" w:sz="4" w:space="0" w:color="auto"/>
            </w:tcBorders>
            <w:hideMark/>
          </w:tcPr>
          <w:p w14:paraId="168AF462"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915" w:type="dxa"/>
            <w:tcBorders>
              <w:top w:val="single" w:sz="4" w:space="0" w:color="auto"/>
              <w:left w:val="single" w:sz="4" w:space="0" w:color="auto"/>
              <w:bottom w:val="single" w:sz="4" w:space="0" w:color="auto"/>
              <w:right w:val="single" w:sz="4" w:space="0" w:color="auto"/>
            </w:tcBorders>
            <w:hideMark/>
          </w:tcPr>
          <w:p w14:paraId="6BCE05E0"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808" w:type="dxa"/>
            <w:tcBorders>
              <w:top w:val="single" w:sz="4" w:space="0" w:color="auto"/>
              <w:left w:val="single" w:sz="4" w:space="0" w:color="auto"/>
              <w:bottom w:val="single" w:sz="4" w:space="0" w:color="auto"/>
              <w:right w:val="single" w:sz="4" w:space="0" w:color="auto"/>
            </w:tcBorders>
            <w:hideMark/>
          </w:tcPr>
          <w:p w14:paraId="59C45E01"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 (3.33%)</w:t>
            </w:r>
          </w:p>
        </w:tc>
      </w:tr>
      <w:tr w:rsidR="00C11AFA" w:rsidRPr="00784C4F" w14:paraId="41978D53" w14:textId="77777777" w:rsidTr="00FA13E4">
        <w:tc>
          <w:tcPr>
            <w:tcW w:w="1807" w:type="dxa"/>
            <w:tcBorders>
              <w:top w:val="single" w:sz="4" w:space="0" w:color="auto"/>
              <w:left w:val="single" w:sz="4" w:space="0" w:color="auto"/>
              <w:bottom w:val="single" w:sz="4" w:space="0" w:color="auto"/>
              <w:right w:val="single" w:sz="4" w:space="0" w:color="auto"/>
            </w:tcBorders>
            <w:hideMark/>
          </w:tcPr>
          <w:p w14:paraId="7777BB7C"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40-60</w:t>
            </w:r>
          </w:p>
        </w:tc>
        <w:tc>
          <w:tcPr>
            <w:tcW w:w="1915" w:type="dxa"/>
            <w:tcBorders>
              <w:top w:val="single" w:sz="4" w:space="0" w:color="auto"/>
              <w:left w:val="single" w:sz="4" w:space="0" w:color="auto"/>
              <w:bottom w:val="single" w:sz="4" w:space="0" w:color="auto"/>
              <w:right w:val="single" w:sz="4" w:space="0" w:color="auto"/>
            </w:tcBorders>
            <w:hideMark/>
          </w:tcPr>
          <w:p w14:paraId="5C17A47F" w14:textId="3CFC3676" w:rsidR="00C11AFA" w:rsidRPr="00784C4F" w:rsidRDefault="00C11AFA" w:rsidP="00A63D88">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n8 (26.67%)</w:t>
            </w:r>
          </w:p>
        </w:tc>
        <w:tc>
          <w:tcPr>
            <w:tcW w:w="1915" w:type="dxa"/>
            <w:tcBorders>
              <w:top w:val="single" w:sz="4" w:space="0" w:color="auto"/>
              <w:left w:val="single" w:sz="4" w:space="0" w:color="auto"/>
              <w:bottom w:val="single" w:sz="4" w:space="0" w:color="auto"/>
              <w:right w:val="single" w:sz="4" w:space="0" w:color="auto"/>
            </w:tcBorders>
            <w:hideMark/>
          </w:tcPr>
          <w:p w14:paraId="521E0EFB" w14:textId="32C21373" w:rsidR="00C11AFA" w:rsidRPr="00784C4F" w:rsidRDefault="00C11AFA" w:rsidP="00A63D88">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n5 (16.67%)</w:t>
            </w:r>
          </w:p>
        </w:tc>
        <w:tc>
          <w:tcPr>
            <w:tcW w:w="1915" w:type="dxa"/>
            <w:tcBorders>
              <w:top w:val="single" w:sz="4" w:space="0" w:color="auto"/>
              <w:left w:val="single" w:sz="4" w:space="0" w:color="auto"/>
              <w:bottom w:val="single" w:sz="4" w:space="0" w:color="auto"/>
              <w:right w:val="single" w:sz="4" w:space="0" w:color="auto"/>
            </w:tcBorders>
            <w:hideMark/>
          </w:tcPr>
          <w:p w14:paraId="15CB130E" w14:textId="5A7100A9" w:rsidR="00C11AFA" w:rsidRPr="00784C4F" w:rsidRDefault="00C11AFA" w:rsidP="00A63D88">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(10%)</w:t>
            </w:r>
          </w:p>
        </w:tc>
        <w:tc>
          <w:tcPr>
            <w:tcW w:w="1808" w:type="dxa"/>
            <w:tcBorders>
              <w:top w:val="single" w:sz="4" w:space="0" w:color="auto"/>
              <w:left w:val="single" w:sz="4" w:space="0" w:color="auto"/>
              <w:bottom w:val="single" w:sz="4" w:space="0" w:color="auto"/>
              <w:right w:val="single" w:sz="4" w:space="0" w:color="auto"/>
            </w:tcBorders>
            <w:hideMark/>
          </w:tcPr>
          <w:p w14:paraId="57325945" w14:textId="3C334416" w:rsidR="00C11AFA" w:rsidRPr="00784C4F" w:rsidRDefault="00C11AFA" w:rsidP="00A63D88">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 (3.33%)</w:t>
            </w:r>
          </w:p>
        </w:tc>
      </w:tr>
      <w:tr w:rsidR="00C11AFA" w:rsidRPr="00784C4F" w14:paraId="61948A05" w14:textId="77777777" w:rsidTr="00FA13E4">
        <w:tc>
          <w:tcPr>
            <w:tcW w:w="1807" w:type="dxa"/>
            <w:tcBorders>
              <w:top w:val="single" w:sz="4" w:space="0" w:color="auto"/>
              <w:left w:val="single" w:sz="4" w:space="0" w:color="auto"/>
              <w:bottom w:val="single" w:sz="4" w:space="0" w:color="auto"/>
              <w:right w:val="single" w:sz="4" w:space="0" w:color="auto"/>
            </w:tcBorders>
            <w:hideMark/>
          </w:tcPr>
          <w:p w14:paraId="6E157A26"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60-80</w:t>
            </w:r>
          </w:p>
        </w:tc>
        <w:tc>
          <w:tcPr>
            <w:tcW w:w="1915" w:type="dxa"/>
            <w:tcBorders>
              <w:top w:val="single" w:sz="4" w:space="0" w:color="auto"/>
              <w:left w:val="single" w:sz="4" w:space="0" w:color="auto"/>
              <w:bottom w:val="single" w:sz="4" w:space="0" w:color="auto"/>
              <w:right w:val="single" w:sz="4" w:space="0" w:color="auto"/>
            </w:tcBorders>
            <w:hideMark/>
          </w:tcPr>
          <w:p w14:paraId="037B1D36" w14:textId="426A9486" w:rsidR="00C11AFA" w:rsidRPr="00784C4F" w:rsidRDefault="00C11AFA" w:rsidP="004342F7">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n5 (16.67%)</w:t>
            </w:r>
          </w:p>
        </w:tc>
        <w:tc>
          <w:tcPr>
            <w:tcW w:w="1915" w:type="dxa"/>
            <w:tcBorders>
              <w:top w:val="single" w:sz="4" w:space="0" w:color="auto"/>
              <w:left w:val="single" w:sz="4" w:space="0" w:color="auto"/>
              <w:bottom w:val="single" w:sz="4" w:space="0" w:color="auto"/>
              <w:right w:val="single" w:sz="4" w:space="0" w:color="auto"/>
            </w:tcBorders>
            <w:hideMark/>
          </w:tcPr>
          <w:p w14:paraId="48352C86" w14:textId="55105C8C" w:rsidR="00C11AFA" w:rsidRPr="00784C4F" w:rsidRDefault="00C11AFA" w:rsidP="00045425">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n4 (13.33%)</w:t>
            </w:r>
          </w:p>
        </w:tc>
        <w:tc>
          <w:tcPr>
            <w:tcW w:w="1915" w:type="dxa"/>
            <w:tcBorders>
              <w:top w:val="single" w:sz="4" w:space="0" w:color="auto"/>
              <w:left w:val="single" w:sz="4" w:space="0" w:color="auto"/>
              <w:bottom w:val="single" w:sz="4" w:space="0" w:color="auto"/>
              <w:right w:val="single" w:sz="4" w:space="0" w:color="auto"/>
            </w:tcBorders>
            <w:hideMark/>
          </w:tcPr>
          <w:p w14:paraId="20C0A0D4" w14:textId="6C27FF57" w:rsidR="00C11AFA" w:rsidRPr="00784C4F" w:rsidRDefault="00C11AFA" w:rsidP="000A1731">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 (3.33%)</w:t>
            </w:r>
          </w:p>
        </w:tc>
        <w:tc>
          <w:tcPr>
            <w:tcW w:w="1808" w:type="dxa"/>
            <w:tcBorders>
              <w:top w:val="single" w:sz="4" w:space="0" w:color="auto"/>
              <w:left w:val="single" w:sz="4" w:space="0" w:color="auto"/>
              <w:bottom w:val="single" w:sz="4" w:space="0" w:color="auto"/>
              <w:right w:val="single" w:sz="4" w:space="0" w:color="auto"/>
            </w:tcBorders>
            <w:hideMark/>
          </w:tcPr>
          <w:p w14:paraId="18E69951"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r>
      <w:tr w:rsidR="00C11AFA" w:rsidRPr="00784C4F" w14:paraId="7986F271" w14:textId="77777777" w:rsidTr="00FA13E4">
        <w:tc>
          <w:tcPr>
            <w:tcW w:w="1807" w:type="dxa"/>
            <w:tcBorders>
              <w:top w:val="single" w:sz="4" w:space="0" w:color="auto"/>
              <w:left w:val="single" w:sz="4" w:space="0" w:color="auto"/>
              <w:bottom w:val="single" w:sz="4" w:space="0" w:color="auto"/>
              <w:right w:val="single" w:sz="4" w:space="0" w:color="auto"/>
            </w:tcBorders>
            <w:hideMark/>
          </w:tcPr>
          <w:p w14:paraId="1A7FDA9A"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&gt;80</w:t>
            </w:r>
          </w:p>
        </w:tc>
        <w:tc>
          <w:tcPr>
            <w:tcW w:w="1915" w:type="dxa"/>
            <w:tcBorders>
              <w:top w:val="single" w:sz="4" w:space="0" w:color="auto"/>
              <w:left w:val="single" w:sz="4" w:space="0" w:color="auto"/>
              <w:bottom w:val="single" w:sz="4" w:space="0" w:color="auto"/>
              <w:right w:val="single" w:sz="4" w:space="0" w:color="auto"/>
            </w:tcBorders>
            <w:hideMark/>
          </w:tcPr>
          <w:p w14:paraId="239AC0A0" w14:textId="0DD0B418" w:rsidR="00C11AFA" w:rsidRPr="00784C4F" w:rsidRDefault="00C11AFA" w:rsidP="004342F7">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n2 (6.67%)</w:t>
            </w:r>
          </w:p>
        </w:tc>
        <w:tc>
          <w:tcPr>
            <w:tcW w:w="1915" w:type="dxa"/>
            <w:tcBorders>
              <w:top w:val="single" w:sz="4" w:space="0" w:color="auto"/>
              <w:left w:val="single" w:sz="4" w:space="0" w:color="auto"/>
              <w:bottom w:val="single" w:sz="4" w:space="0" w:color="auto"/>
              <w:right w:val="single" w:sz="4" w:space="0" w:color="auto"/>
            </w:tcBorders>
            <w:hideMark/>
          </w:tcPr>
          <w:p w14:paraId="02DC89A1"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915" w:type="dxa"/>
            <w:tcBorders>
              <w:top w:val="single" w:sz="4" w:space="0" w:color="auto"/>
              <w:left w:val="single" w:sz="4" w:space="0" w:color="auto"/>
              <w:bottom w:val="single" w:sz="4" w:space="0" w:color="auto"/>
              <w:right w:val="single" w:sz="4" w:space="0" w:color="auto"/>
            </w:tcBorders>
            <w:hideMark/>
          </w:tcPr>
          <w:p w14:paraId="61988E3F"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808" w:type="dxa"/>
            <w:tcBorders>
              <w:top w:val="single" w:sz="4" w:space="0" w:color="auto"/>
              <w:left w:val="single" w:sz="4" w:space="0" w:color="auto"/>
              <w:bottom w:val="single" w:sz="4" w:space="0" w:color="auto"/>
              <w:right w:val="single" w:sz="4" w:space="0" w:color="auto"/>
            </w:tcBorders>
            <w:hideMark/>
          </w:tcPr>
          <w:p w14:paraId="3495FFE6" w14:textId="77777777" w:rsidR="00C11AFA" w:rsidRPr="00784C4F" w:rsidRDefault="00C11AFA"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r>
    </w:tbl>
    <w:p w14:paraId="6FC75324" w14:textId="77777777" w:rsidR="0024285F" w:rsidRDefault="0024285F" w:rsidP="004E490C">
      <w:pPr>
        <w:autoSpaceDE w:val="0"/>
        <w:autoSpaceDN w:val="0"/>
        <w:adjustRightInd w:val="0"/>
        <w:spacing w:before="120" w:after="0" w:line="240" w:lineRule="auto"/>
        <w:jc w:val="both"/>
        <w:rPr>
          <w:rFonts w:asciiTheme="majorBidi" w:hAnsiTheme="majorBidi" w:cstheme="majorBidi"/>
          <w:b/>
          <w:sz w:val="20"/>
          <w:szCs w:val="20"/>
        </w:rPr>
      </w:pPr>
    </w:p>
    <w:p w14:paraId="414B2B3D" w14:textId="63FFB8D9" w:rsidR="00DE21EF" w:rsidRPr="00784C4F" w:rsidRDefault="000C0FD3" w:rsidP="004E490C">
      <w:pPr>
        <w:autoSpaceDE w:val="0"/>
        <w:autoSpaceDN w:val="0"/>
        <w:adjustRightInd w:val="0"/>
        <w:spacing w:before="120" w:after="0" w:line="240" w:lineRule="auto"/>
        <w:jc w:val="both"/>
        <w:rPr>
          <w:rFonts w:asciiTheme="majorBidi" w:hAnsiTheme="majorBidi" w:cstheme="majorBidi"/>
          <w:b/>
          <w:sz w:val="20"/>
          <w:szCs w:val="20"/>
        </w:rPr>
      </w:pPr>
      <w:r w:rsidRPr="00784C4F">
        <w:rPr>
          <w:rFonts w:asciiTheme="majorBidi" w:hAnsiTheme="majorBidi" w:cstheme="majorBidi"/>
          <w:b/>
          <w:sz w:val="20"/>
          <w:szCs w:val="20"/>
        </w:rPr>
        <w:lastRenderedPageBreak/>
        <w:t>Table</w:t>
      </w:r>
      <w:r>
        <w:rPr>
          <w:rFonts w:asciiTheme="majorBidi" w:hAnsiTheme="majorBidi" w:cstheme="majorBidi"/>
          <w:b/>
          <w:sz w:val="20"/>
          <w:szCs w:val="20"/>
        </w:rPr>
        <w:t xml:space="preserve"> No.</w:t>
      </w:r>
      <w:r w:rsidR="00DE21EF" w:rsidRPr="00784C4F">
        <w:rPr>
          <w:rFonts w:asciiTheme="majorBidi" w:hAnsiTheme="majorBidi" w:cstheme="majorBidi"/>
          <w:b/>
          <w:sz w:val="20"/>
          <w:szCs w:val="20"/>
        </w:rPr>
        <w:t xml:space="preserve"> 3</w:t>
      </w:r>
      <w:r w:rsidR="0027162B">
        <w:rPr>
          <w:rFonts w:asciiTheme="majorBidi" w:hAnsiTheme="majorBidi" w:cstheme="majorBidi"/>
          <w:b/>
          <w:sz w:val="20"/>
          <w:szCs w:val="20"/>
        </w:rPr>
        <w:t>:</w:t>
      </w:r>
      <w:r w:rsidR="00DE21EF" w:rsidRPr="00784C4F">
        <w:rPr>
          <w:rFonts w:asciiTheme="majorBidi" w:hAnsiTheme="majorBidi" w:cstheme="majorBidi"/>
          <w:b/>
          <w:sz w:val="20"/>
          <w:szCs w:val="20"/>
        </w:rPr>
        <w:t xml:space="preserve"> Preoperative BP, normotensive and </w:t>
      </w:r>
      <w:proofErr w:type="spellStart"/>
      <w:r w:rsidR="00DE21EF" w:rsidRPr="00784C4F">
        <w:rPr>
          <w:rFonts w:asciiTheme="majorBidi" w:hAnsiTheme="majorBidi" w:cstheme="majorBidi"/>
          <w:b/>
          <w:sz w:val="20"/>
          <w:szCs w:val="20"/>
        </w:rPr>
        <w:t>hypertensives</w:t>
      </w:r>
      <w:proofErr w:type="spellEnd"/>
      <w:r w:rsidR="00DE21EF" w:rsidRPr="00784C4F">
        <w:rPr>
          <w:rFonts w:asciiTheme="majorBidi" w:hAnsiTheme="majorBidi" w:cstheme="majorBidi"/>
          <w:b/>
          <w:sz w:val="20"/>
          <w:szCs w:val="20"/>
        </w:rPr>
        <w:t xml:space="preserve">. </w:t>
      </w:r>
      <w:proofErr w:type="gramStart"/>
      <w:r w:rsidR="00DE21EF" w:rsidRPr="00784C4F">
        <w:rPr>
          <w:rFonts w:asciiTheme="majorBidi" w:hAnsiTheme="majorBidi" w:cstheme="majorBidi"/>
          <w:b/>
          <w:sz w:val="20"/>
          <w:szCs w:val="20"/>
        </w:rPr>
        <w:t>n</w:t>
      </w:r>
      <w:proofErr w:type="gramEnd"/>
      <w:r w:rsidR="00DE21EF" w:rsidRPr="00784C4F">
        <w:rPr>
          <w:rFonts w:asciiTheme="majorBidi" w:hAnsiTheme="majorBidi" w:cstheme="majorBidi"/>
          <w:b/>
          <w:sz w:val="20"/>
          <w:szCs w:val="20"/>
        </w:rPr>
        <w:t xml:space="preserve"> 72</w:t>
      </w:r>
    </w:p>
    <w:tbl>
      <w:tblPr>
        <w:tblStyle w:val="TableGrid"/>
        <w:tblW w:w="0" w:type="auto"/>
        <w:tblInd w:w="108" w:type="dxa"/>
        <w:tblLook w:val="04A0" w:firstRow="1" w:lastRow="0" w:firstColumn="1" w:lastColumn="0" w:noHBand="0" w:noVBand="1"/>
      </w:tblPr>
      <w:tblGrid>
        <w:gridCol w:w="1807"/>
        <w:gridCol w:w="1915"/>
        <w:gridCol w:w="1915"/>
        <w:gridCol w:w="1915"/>
        <w:gridCol w:w="1808"/>
      </w:tblGrid>
      <w:tr w:rsidR="00525276" w:rsidRPr="00784C4F" w14:paraId="36E7B1A6" w14:textId="77777777" w:rsidTr="00805362">
        <w:tc>
          <w:tcPr>
            <w:tcW w:w="1807" w:type="dxa"/>
            <w:tcBorders>
              <w:top w:val="single" w:sz="4" w:space="0" w:color="auto"/>
              <w:left w:val="single" w:sz="4" w:space="0" w:color="auto"/>
              <w:bottom w:val="single" w:sz="4" w:space="0" w:color="auto"/>
              <w:right w:val="single" w:sz="4" w:space="0" w:color="auto"/>
            </w:tcBorders>
          </w:tcPr>
          <w:p w14:paraId="7BC6AB88" w14:textId="77777777" w:rsidR="00525276" w:rsidRPr="00784C4F" w:rsidRDefault="00525276" w:rsidP="0099081A">
            <w:pPr>
              <w:autoSpaceDE w:val="0"/>
              <w:autoSpaceDN w:val="0"/>
              <w:adjustRightInd w:val="0"/>
              <w:spacing w:after="0" w:line="240" w:lineRule="auto"/>
              <w:jc w:val="both"/>
              <w:rPr>
                <w:rFonts w:asciiTheme="majorBidi" w:hAnsiTheme="majorBidi" w:cstheme="majorBidi"/>
                <w:sz w:val="20"/>
                <w:szCs w:val="20"/>
              </w:rPr>
            </w:pPr>
          </w:p>
        </w:tc>
        <w:tc>
          <w:tcPr>
            <w:tcW w:w="1915" w:type="dxa"/>
            <w:tcBorders>
              <w:top w:val="single" w:sz="4" w:space="0" w:color="auto"/>
              <w:left w:val="single" w:sz="4" w:space="0" w:color="auto"/>
              <w:bottom w:val="single" w:sz="4" w:space="0" w:color="auto"/>
              <w:right w:val="single" w:sz="4" w:space="0" w:color="auto"/>
            </w:tcBorders>
            <w:hideMark/>
          </w:tcPr>
          <w:p w14:paraId="56E4D486" w14:textId="77777777" w:rsidR="000C2395" w:rsidRDefault="00525276"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EYE</w:t>
            </w:r>
            <w:r>
              <w:rPr>
                <w:rFonts w:asciiTheme="majorBidi" w:hAnsiTheme="majorBidi" w:cstheme="majorBidi"/>
                <w:sz w:val="20"/>
                <w:szCs w:val="20"/>
              </w:rPr>
              <w:t xml:space="preserve"> </w:t>
            </w:r>
          </w:p>
          <w:p w14:paraId="5B0B10A9" w14:textId="23BA04BA" w:rsidR="00525276" w:rsidRPr="00784C4F" w:rsidRDefault="00525276"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MALES</w:t>
            </w:r>
            <w:r>
              <w:rPr>
                <w:rFonts w:asciiTheme="majorBidi" w:hAnsiTheme="majorBidi" w:cstheme="majorBidi"/>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32542A90" w14:textId="77777777" w:rsidR="000C2395" w:rsidRDefault="00525276"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EYE</w:t>
            </w:r>
            <w:r>
              <w:rPr>
                <w:rFonts w:asciiTheme="majorBidi" w:hAnsiTheme="majorBidi" w:cstheme="majorBidi"/>
                <w:sz w:val="20"/>
                <w:szCs w:val="20"/>
              </w:rPr>
              <w:t xml:space="preserve"> </w:t>
            </w:r>
          </w:p>
          <w:p w14:paraId="3C88B149" w14:textId="61F1ABBB" w:rsidR="00525276" w:rsidRPr="00784C4F" w:rsidRDefault="00525276"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FEMALES</w:t>
            </w:r>
            <w:r>
              <w:rPr>
                <w:rFonts w:asciiTheme="majorBidi" w:hAnsiTheme="majorBidi" w:cstheme="majorBidi"/>
                <w:sz w:val="20"/>
                <w:szCs w:val="20"/>
              </w:rPr>
              <w:t>)</w:t>
            </w:r>
          </w:p>
        </w:tc>
        <w:tc>
          <w:tcPr>
            <w:tcW w:w="1915" w:type="dxa"/>
            <w:tcBorders>
              <w:top w:val="single" w:sz="4" w:space="0" w:color="auto"/>
              <w:left w:val="single" w:sz="4" w:space="0" w:color="auto"/>
              <w:bottom w:val="single" w:sz="4" w:space="0" w:color="auto"/>
              <w:right w:val="single" w:sz="4" w:space="0" w:color="auto"/>
            </w:tcBorders>
            <w:hideMark/>
          </w:tcPr>
          <w:p w14:paraId="0F560179" w14:textId="77777777" w:rsidR="000C2395" w:rsidRDefault="00525276"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ENT</w:t>
            </w:r>
            <w:r>
              <w:rPr>
                <w:rFonts w:asciiTheme="majorBidi" w:hAnsiTheme="majorBidi" w:cstheme="majorBidi"/>
                <w:sz w:val="20"/>
                <w:szCs w:val="20"/>
              </w:rPr>
              <w:t xml:space="preserve"> </w:t>
            </w:r>
          </w:p>
          <w:p w14:paraId="7881FB35" w14:textId="71833EF1" w:rsidR="00525276" w:rsidRPr="00784C4F" w:rsidRDefault="00525276"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MALES</w:t>
            </w:r>
            <w:r>
              <w:rPr>
                <w:rFonts w:asciiTheme="majorBidi" w:hAnsiTheme="majorBidi" w:cstheme="majorBidi"/>
                <w:sz w:val="20"/>
                <w:szCs w:val="20"/>
              </w:rPr>
              <w:t>)</w:t>
            </w:r>
          </w:p>
        </w:tc>
        <w:tc>
          <w:tcPr>
            <w:tcW w:w="1808" w:type="dxa"/>
            <w:tcBorders>
              <w:top w:val="single" w:sz="4" w:space="0" w:color="auto"/>
              <w:left w:val="single" w:sz="4" w:space="0" w:color="auto"/>
              <w:bottom w:val="single" w:sz="4" w:space="0" w:color="auto"/>
              <w:right w:val="single" w:sz="4" w:space="0" w:color="auto"/>
            </w:tcBorders>
            <w:hideMark/>
          </w:tcPr>
          <w:p w14:paraId="391DF048" w14:textId="77777777" w:rsidR="00630663" w:rsidRDefault="00525276"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ENT </w:t>
            </w:r>
          </w:p>
          <w:p w14:paraId="65D1A65A" w14:textId="4C97BE44" w:rsidR="00525276" w:rsidRPr="00784C4F" w:rsidRDefault="00525276" w:rsidP="0099081A">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w:t>
            </w:r>
            <w:r w:rsidRPr="00784C4F">
              <w:rPr>
                <w:rFonts w:asciiTheme="majorBidi" w:hAnsiTheme="majorBidi" w:cstheme="majorBidi"/>
                <w:sz w:val="20"/>
                <w:szCs w:val="20"/>
              </w:rPr>
              <w:t>FEMALES</w:t>
            </w:r>
            <w:r>
              <w:rPr>
                <w:rFonts w:asciiTheme="majorBidi" w:hAnsiTheme="majorBidi" w:cstheme="majorBidi"/>
                <w:sz w:val="20"/>
                <w:szCs w:val="20"/>
              </w:rPr>
              <w:t>)</w:t>
            </w:r>
          </w:p>
        </w:tc>
      </w:tr>
      <w:tr w:rsidR="00DE21EF" w:rsidRPr="00784C4F" w14:paraId="5CB268D8" w14:textId="77777777" w:rsidTr="00805362">
        <w:tc>
          <w:tcPr>
            <w:tcW w:w="1807" w:type="dxa"/>
            <w:tcBorders>
              <w:top w:val="single" w:sz="4" w:space="0" w:color="auto"/>
              <w:left w:val="single" w:sz="4" w:space="0" w:color="auto"/>
              <w:bottom w:val="single" w:sz="4" w:space="0" w:color="auto"/>
              <w:right w:val="single" w:sz="4" w:space="0" w:color="auto"/>
            </w:tcBorders>
            <w:hideMark/>
          </w:tcPr>
          <w:p w14:paraId="7196F6CF"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&lt; 40</w:t>
            </w:r>
          </w:p>
        </w:tc>
        <w:tc>
          <w:tcPr>
            <w:tcW w:w="1915" w:type="dxa"/>
            <w:tcBorders>
              <w:top w:val="single" w:sz="4" w:space="0" w:color="auto"/>
              <w:left w:val="single" w:sz="4" w:space="0" w:color="auto"/>
              <w:bottom w:val="single" w:sz="4" w:space="0" w:color="auto"/>
              <w:right w:val="single" w:sz="4" w:space="0" w:color="auto"/>
            </w:tcBorders>
            <w:hideMark/>
          </w:tcPr>
          <w:p w14:paraId="4787444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(2.16%)</w:t>
            </w:r>
          </w:p>
          <w:p w14:paraId="2B544DC3"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165-170/95-100</w:t>
            </w:r>
          </w:p>
          <w:p w14:paraId="5C37FB1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Mean,166.7/96.7</w:t>
            </w:r>
          </w:p>
          <w:p w14:paraId="6AA9A076"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165/95</w:t>
            </w:r>
          </w:p>
          <w:p w14:paraId="087DC4A8"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Mode,165/95</w:t>
            </w:r>
          </w:p>
          <w:p w14:paraId="5BEE293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2.89</w:t>
            </w:r>
          </w:p>
        </w:tc>
        <w:tc>
          <w:tcPr>
            <w:tcW w:w="1915" w:type="dxa"/>
            <w:tcBorders>
              <w:top w:val="single" w:sz="4" w:space="0" w:color="auto"/>
              <w:left w:val="single" w:sz="4" w:space="0" w:color="auto"/>
              <w:bottom w:val="single" w:sz="4" w:space="0" w:color="auto"/>
              <w:right w:val="single" w:sz="4" w:space="0" w:color="auto"/>
            </w:tcBorders>
            <w:hideMark/>
          </w:tcPr>
          <w:p w14:paraId="5AAEED34"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915" w:type="dxa"/>
            <w:tcBorders>
              <w:top w:val="single" w:sz="4" w:space="0" w:color="auto"/>
              <w:left w:val="single" w:sz="4" w:space="0" w:color="auto"/>
              <w:bottom w:val="single" w:sz="4" w:space="0" w:color="auto"/>
              <w:right w:val="single" w:sz="4" w:space="0" w:color="auto"/>
            </w:tcBorders>
            <w:hideMark/>
          </w:tcPr>
          <w:p w14:paraId="03CECAC5"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808" w:type="dxa"/>
            <w:tcBorders>
              <w:top w:val="single" w:sz="4" w:space="0" w:color="auto"/>
              <w:left w:val="single" w:sz="4" w:space="0" w:color="auto"/>
              <w:bottom w:val="single" w:sz="4" w:space="0" w:color="auto"/>
              <w:right w:val="single" w:sz="4" w:space="0" w:color="auto"/>
            </w:tcBorders>
          </w:tcPr>
          <w:p w14:paraId="2F45AA1B"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 (1.39%)</w:t>
            </w:r>
          </w:p>
          <w:p w14:paraId="1E9B8CAD"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165/100</w:t>
            </w:r>
          </w:p>
          <w:p w14:paraId="50708B88"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p>
          <w:p w14:paraId="08A5D393"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p>
        </w:tc>
      </w:tr>
      <w:tr w:rsidR="00DE21EF" w:rsidRPr="00784C4F" w14:paraId="36F1E4CD" w14:textId="77777777" w:rsidTr="00805362">
        <w:tc>
          <w:tcPr>
            <w:tcW w:w="1807" w:type="dxa"/>
            <w:tcBorders>
              <w:top w:val="single" w:sz="4" w:space="0" w:color="auto"/>
              <w:left w:val="single" w:sz="4" w:space="0" w:color="auto"/>
              <w:bottom w:val="single" w:sz="4" w:space="0" w:color="auto"/>
              <w:right w:val="single" w:sz="4" w:space="0" w:color="auto"/>
            </w:tcBorders>
            <w:hideMark/>
          </w:tcPr>
          <w:p w14:paraId="436D1A62"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40-60</w:t>
            </w:r>
          </w:p>
        </w:tc>
        <w:tc>
          <w:tcPr>
            <w:tcW w:w="1915" w:type="dxa"/>
            <w:tcBorders>
              <w:top w:val="single" w:sz="4" w:space="0" w:color="auto"/>
              <w:left w:val="single" w:sz="4" w:space="0" w:color="auto"/>
              <w:bottom w:val="single" w:sz="4" w:space="0" w:color="auto"/>
              <w:right w:val="single" w:sz="4" w:space="0" w:color="auto"/>
            </w:tcBorders>
            <w:hideMark/>
          </w:tcPr>
          <w:p w14:paraId="4B99FB5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n13 (18.05%)</w:t>
            </w:r>
          </w:p>
          <w:p w14:paraId="6D4D0FD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150-195/80-105</w:t>
            </w:r>
          </w:p>
          <w:p w14:paraId="4065FBB5"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Mean,175/94</w:t>
            </w:r>
          </w:p>
          <w:p w14:paraId="23761C9B"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Median,175/100</w:t>
            </w:r>
          </w:p>
          <w:p w14:paraId="05343596"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Mode,180/100</w:t>
            </w:r>
          </w:p>
          <w:p w14:paraId="3EF875B6"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SD,13.9/8.9</w:t>
            </w:r>
          </w:p>
        </w:tc>
        <w:tc>
          <w:tcPr>
            <w:tcW w:w="1915" w:type="dxa"/>
            <w:tcBorders>
              <w:top w:val="single" w:sz="4" w:space="0" w:color="auto"/>
              <w:left w:val="single" w:sz="4" w:space="0" w:color="auto"/>
              <w:bottom w:val="single" w:sz="4" w:space="0" w:color="auto"/>
              <w:right w:val="single" w:sz="4" w:space="0" w:color="auto"/>
            </w:tcBorders>
            <w:hideMark/>
          </w:tcPr>
          <w:p w14:paraId="5CC8A62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n10 (13.89%)</w:t>
            </w:r>
          </w:p>
          <w:p w14:paraId="1899FFC1"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155-210/95-115</w:t>
            </w:r>
          </w:p>
          <w:p w14:paraId="66F558B1"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Mean,179.5/99.5</w:t>
            </w:r>
          </w:p>
          <w:p w14:paraId="6D58666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Median,180/100</w:t>
            </w:r>
          </w:p>
          <w:p w14:paraId="735C562D"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Mode,170/100</w:t>
            </w:r>
          </w:p>
          <w:p w14:paraId="3862EC5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SD,18.5/5.9</w:t>
            </w:r>
          </w:p>
        </w:tc>
        <w:tc>
          <w:tcPr>
            <w:tcW w:w="1915" w:type="dxa"/>
            <w:tcBorders>
              <w:top w:val="single" w:sz="4" w:space="0" w:color="auto"/>
              <w:left w:val="single" w:sz="4" w:space="0" w:color="auto"/>
              <w:bottom w:val="single" w:sz="4" w:space="0" w:color="auto"/>
              <w:right w:val="single" w:sz="4" w:space="0" w:color="auto"/>
            </w:tcBorders>
            <w:hideMark/>
          </w:tcPr>
          <w:p w14:paraId="46129AE7"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n5 (16.67%)</w:t>
            </w:r>
          </w:p>
          <w:p w14:paraId="52CD7811"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155-170/85-95</w:t>
            </w:r>
          </w:p>
          <w:p w14:paraId="2F841073"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Mean,160/88</w:t>
            </w:r>
          </w:p>
          <w:p w14:paraId="7877D14F"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Median,155/85</w:t>
            </w:r>
          </w:p>
          <w:p w14:paraId="27A5B31F"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155/85</w:t>
            </w:r>
          </w:p>
          <w:p w14:paraId="1AD563A3"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7/4.5</w:t>
            </w:r>
          </w:p>
        </w:tc>
        <w:tc>
          <w:tcPr>
            <w:tcW w:w="1808" w:type="dxa"/>
            <w:tcBorders>
              <w:top w:val="single" w:sz="4" w:space="0" w:color="auto"/>
              <w:left w:val="single" w:sz="4" w:space="0" w:color="auto"/>
              <w:bottom w:val="single" w:sz="4" w:space="0" w:color="auto"/>
              <w:right w:val="single" w:sz="4" w:space="0" w:color="auto"/>
            </w:tcBorders>
            <w:hideMark/>
          </w:tcPr>
          <w:p w14:paraId="075C209C"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(2.16%)</w:t>
            </w:r>
          </w:p>
          <w:p w14:paraId="745BC394"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155-170/90-100</w:t>
            </w:r>
          </w:p>
          <w:p w14:paraId="7F6B0CD5"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163/92</w:t>
            </w:r>
          </w:p>
          <w:p w14:paraId="48D8423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165/90</w:t>
            </w:r>
          </w:p>
          <w:p w14:paraId="2B6FFA3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165/90</w:t>
            </w:r>
          </w:p>
          <w:p w14:paraId="01DDD99C"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7.6/5.8</w:t>
            </w:r>
          </w:p>
        </w:tc>
      </w:tr>
      <w:tr w:rsidR="00DE21EF" w:rsidRPr="00784C4F" w14:paraId="2287DA33" w14:textId="77777777" w:rsidTr="00805362">
        <w:tc>
          <w:tcPr>
            <w:tcW w:w="1807" w:type="dxa"/>
            <w:tcBorders>
              <w:top w:val="single" w:sz="4" w:space="0" w:color="auto"/>
              <w:left w:val="single" w:sz="4" w:space="0" w:color="auto"/>
              <w:bottom w:val="single" w:sz="4" w:space="0" w:color="auto"/>
              <w:right w:val="single" w:sz="4" w:space="0" w:color="auto"/>
            </w:tcBorders>
            <w:hideMark/>
          </w:tcPr>
          <w:p w14:paraId="78E36FFA"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60-80</w:t>
            </w:r>
          </w:p>
        </w:tc>
        <w:tc>
          <w:tcPr>
            <w:tcW w:w="1915" w:type="dxa"/>
            <w:tcBorders>
              <w:top w:val="single" w:sz="4" w:space="0" w:color="auto"/>
              <w:left w:val="single" w:sz="4" w:space="0" w:color="auto"/>
              <w:bottom w:val="single" w:sz="4" w:space="0" w:color="auto"/>
              <w:right w:val="single" w:sz="4" w:space="0" w:color="auto"/>
            </w:tcBorders>
            <w:hideMark/>
          </w:tcPr>
          <w:p w14:paraId="484BC30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n16 (22.22%)</w:t>
            </w:r>
          </w:p>
          <w:p w14:paraId="1D86C608"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175-195/95-105</w:t>
            </w:r>
          </w:p>
          <w:p w14:paraId="5667E17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180/99</w:t>
            </w:r>
          </w:p>
          <w:p w14:paraId="6A428EA4"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180/100</w:t>
            </w:r>
          </w:p>
          <w:p w14:paraId="16670AB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190/100</w:t>
            </w:r>
          </w:p>
          <w:p w14:paraId="0A11C50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10/3.4</w:t>
            </w:r>
          </w:p>
        </w:tc>
        <w:tc>
          <w:tcPr>
            <w:tcW w:w="1915" w:type="dxa"/>
            <w:tcBorders>
              <w:top w:val="single" w:sz="4" w:space="0" w:color="auto"/>
              <w:left w:val="single" w:sz="4" w:space="0" w:color="auto"/>
              <w:bottom w:val="single" w:sz="4" w:space="0" w:color="auto"/>
              <w:right w:val="single" w:sz="4" w:space="0" w:color="auto"/>
            </w:tcBorders>
            <w:hideMark/>
          </w:tcPr>
          <w:p w14:paraId="66BF5A47"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n10 (13.89%)</w:t>
            </w:r>
          </w:p>
          <w:p w14:paraId="55F7485B"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165-190/95-105</w:t>
            </w:r>
          </w:p>
          <w:p w14:paraId="0A9FC0D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179/99</w:t>
            </w:r>
          </w:p>
          <w:p w14:paraId="2DB60CFD"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180/100</w:t>
            </w:r>
          </w:p>
          <w:p w14:paraId="3C1D1CAD"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190/100</w:t>
            </w:r>
          </w:p>
          <w:p w14:paraId="43E1FFB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10.3/3.4</w:t>
            </w:r>
          </w:p>
        </w:tc>
        <w:tc>
          <w:tcPr>
            <w:tcW w:w="1915" w:type="dxa"/>
            <w:tcBorders>
              <w:top w:val="single" w:sz="4" w:space="0" w:color="auto"/>
              <w:left w:val="single" w:sz="4" w:space="0" w:color="auto"/>
              <w:bottom w:val="single" w:sz="4" w:space="0" w:color="auto"/>
              <w:right w:val="single" w:sz="4" w:space="0" w:color="auto"/>
            </w:tcBorders>
            <w:hideMark/>
          </w:tcPr>
          <w:p w14:paraId="501C451B"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n3 (2.16%)</w:t>
            </w:r>
          </w:p>
          <w:p w14:paraId="6794020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165-185/85-100</w:t>
            </w:r>
          </w:p>
          <w:p w14:paraId="341EFC52"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172/90</w:t>
            </w:r>
          </w:p>
          <w:p w14:paraId="23C2A298"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165/85</w:t>
            </w:r>
          </w:p>
          <w:p w14:paraId="7CE45BA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165/85</w:t>
            </w:r>
          </w:p>
          <w:p w14:paraId="5F9D564F"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11.5/8.7</w:t>
            </w:r>
          </w:p>
        </w:tc>
        <w:tc>
          <w:tcPr>
            <w:tcW w:w="1808" w:type="dxa"/>
            <w:tcBorders>
              <w:top w:val="single" w:sz="4" w:space="0" w:color="auto"/>
              <w:left w:val="single" w:sz="4" w:space="0" w:color="auto"/>
              <w:bottom w:val="single" w:sz="4" w:space="0" w:color="auto"/>
              <w:right w:val="single" w:sz="4" w:space="0" w:color="auto"/>
            </w:tcBorders>
            <w:hideMark/>
          </w:tcPr>
          <w:p w14:paraId="3204EE8A"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n2 (2.78%)</w:t>
            </w:r>
          </w:p>
          <w:p w14:paraId="023FF5CF"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190/100</w:t>
            </w:r>
          </w:p>
          <w:p w14:paraId="6AC5B93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190/100</w:t>
            </w:r>
          </w:p>
          <w:p w14:paraId="3E5FB44C"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190/100</w:t>
            </w:r>
          </w:p>
          <w:p w14:paraId="7894AA7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190/100</w:t>
            </w:r>
          </w:p>
          <w:p w14:paraId="7A5B7AED"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0/0</w:t>
            </w:r>
          </w:p>
        </w:tc>
      </w:tr>
      <w:tr w:rsidR="00DE21EF" w:rsidRPr="00784C4F" w14:paraId="752BBBF2" w14:textId="77777777" w:rsidTr="00805362">
        <w:tc>
          <w:tcPr>
            <w:tcW w:w="1807" w:type="dxa"/>
            <w:tcBorders>
              <w:top w:val="single" w:sz="4" w:space="0" w:color="auto"/>
              <w:left w:val="single" w:sz="4" w:space="0" w:color="auto"/>
              <w:bottom w:val="single" w:sz="4" w:space="0" w:color="auto"/>
              <w:right w:val="single" w:sz="4" w:space="0" w:color="auto"/>
            </w:tcBorders>
            <w:hideMark/>
          </w:tcPr>
          <w:p w14:paraId="50CA92F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&gt;80</w:t>
            </w:r>
          </w:p>
        </w:tc>
        <w:tc>
          <w:tcPr>
            <w:tcW w:w="1915" w:type="dxa"/>
            <w:tcBorders>
              <w:top w:val="single" w:sz="4" w:space="0" w:color="auto"/>
              <w:left w:val="single" w:sz="4" w:space="0" w:color="auto"/>
              <w:bottom w:val="single" w:sz="4" w:space="0" w:color="auto"/>
              <w:right w:val="single" w:sz="4" w:space="0" w:color="auto"/>
            </w:tcBorders>
            <w:hideMark/>
          </w:tcPr>
          <w:p w14:paraId="06760A85"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n4 (5.56%)</w:t>
            </w:r>
          </w:p>
          <w:p w14:paraId="797E4789"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180-190/95-100</w:t>
            </w:r>
          </w:p>
          <w:p w14:paraId="7C8B4DF3"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188/99</w:t>
            </w:r>
          </w:p>
          <w:p w14:paraId="073A54CC"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190/100</w:t>
            </w:r>
          </w:p>
          <w:p w14:paraId="63D3D0C7"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190/100</w:t>
            </w:r>
          </w:p>
          <w:p w14:paraId="4FFD44C0"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5/2.5</w:t>
            </w:r>
          </w:p>
        </w:tc>
        <w:tc>
          <w:tcPr>
            <w:tcW w:w="1915" w:type="dxa"/>
            <w:tcBorders>
              <w:top w:val="single" w:sz="4" w:space="0" w:color="auto"/>
              <w:left w:val="single" w:sz="4" w:space="0" w:color="auto"/>
              <w:bottom w:val="single" w:sz="4" w:space="0" w:color="auto"/>
              <w:right w:val="single" w:sz="4" w:space="0" w:color="auto"/>
            </w:tcBorders>
            <w:hideMark/>
          </w:tcPr>
          <w:p w14:paraId="42434727"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c>
          <w:tcPr>
            <w:tcW w:w="1915" w:type="dxa"/>
            <w:tcBorders>
              <w:top w:val="single" w:sz="4" w:space="0" w:color="auto"/>
              <w:left w:val="single" w:sz="4" w:space="0" w:color="auto"/>
              <w:bottom w:val="single" w:sz="4" w:space="0" w:color="auto"/>
              <w:right w:val="single" w:sz="4" w:space="0" w:color="auto"/>
            </w:tcBorders>
            <w:hideMark/>
          </w:tcPr>
          <w:p w14:paraId="2A0D6EFF"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n2 (2.78%)</w:t>
            </w:r>
          </w:p>
          <w:p w14:paraId="6067FF95"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180/105</w:t>
            </w:r>
          </w:p>
          <w:p w14:paraId="10C4D3E5"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Mean, 180/105</w:t>
            </w:r>
          </w:p>
          <w:p w14:paraId="6A01A6B8"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Median, 180/105</w:t>
            </w:r>
          </w:p>
          <w:p w14:paraId="5C65D954"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Mode, 180/105</w:t>
            </w:r>
          </w:p>
          <w:p w14:paraId="4A4F485A"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SD, 0/0</w:t>
            </w:r>
          </w:p>
        </w:tc>
        <w:tc>
          <w:tcPr>
            <w:tcW w:w="1808" w:type="dxa"/>
            <w:tcBorders>
              <w:top w:val="single" w:sz="4" w:space="0" w:color="auto"/>
              <w:left w:val="single" w:sz="4" w:space="0" w:color="auto"/>
              <w:bottom w:val="single" w:sz="4" w:space="0" w:color="auto"/>
              <w:right w:val="single" w:sz="4" w:space="0" w:color="auto"/>
            </w:tcBorders>
            <w:hideMark/>
          </w:tcPr>
          <w:p w14:paraId="5E97808E" w14:textId="77777777" w:rsidR="00DE21EF" w:rsidRPr="00784C4F" w:rsidRDefault="00DE21EF" w:rsidP="0099081A">
            <w:pPr>
              <w:autoSpaceDE w:val="0"/>
              <w:autoSpaceDN w:val="0"/>
              <w:adjustRightInd w:val="0"/>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n0</w:t>
            </w:r>
          </w:p>
        </w:tc>
      </w:tr>
    </w:tbl>
    <w:p w14:paraId="4A00F436" w14:textId="77777777" w:rsidR="002915E1" w:rsidRDefault="002915E1" w:rsidP="003D621F">
      <w:pPr>
        <w:shd w:val="clear" w:color="auto" w:fill="FFFFFF"/>
        <w:spacing w:after="0" w:line="240" w:lineRule="auto"/>
        <w:jc w:val="both"/>
        <w:rPr>
          <w:rFonts w:asciiTheme="majorBidi" w:hAnsiTheme="majorBidi" w:cstheme="majorBidi"/>
          <w:sz w:val="20"/>
          <w:szCs w:val="20"/>
        </w:rPr>
      </w:pPr>
    </w:p>
    <w:p w14:paraId="3A5918C6" w14:textId="77777777" w:rsidR="002915E1" w:rsidRDefault="002915E1" w:rsidP="003D621F">
      <w:pPr>
        <w:shd w:val="clear" w:color="auto" w:fill="FFFFFF"/>
        <w:spacing w:after="0" w:line="240" w:lineRule="auto"/>
        <w:jc w:val="both"/>
        <w:rPr>
          <w:rFonts w:asciiTheme="majorBidi" w:hAnsiTheme="majorBidi" w:cstheme="majorBidi"/>
          <w:sz w:val="20"/>
          <w:szCs w:val="20"/>
        </w:rPr>
        <w:sectPr w:rsidR="002915E1" w:rsidSect="002915E1">
          <w:type w:val="continuous"/>
          <w:pgSz w:w="12240" w:h="15840"/>
          <w:pgMar w:top="1080" w:right="1440" w:bottom="1440" w:left="1440" w:header="720" w:footer="720" w:gutter="0"/>
          <w:cols w:space="360"/>
          <w:docGrid w:linePitch="360"/>
        </w:sectPr>
      </w:pPr>
    </w:p>
    <w:p w14:paraId="22C38B23" w14:textId="77777777" w:rsidR="00822107" w:rsidRPr="00EF6B19" w:rsidRDefault="00822107" w:rsidP="00814741">
      <w:pPr>
        <w:shd w:val="clear" w:color="auto" w:fill="FFFFFF"/>
        <w:spacing w:after="120" w:line="240" w:lineRule="auto"/>
        <w:jc w:val="both"/>
        <w:rPr>
          <w:rFonts w:ascii="Times New Roman" w:hAnsi="Times New Roman"/>
          <w:b/>
          <w:sz w:val="28"/>
          <w:szCs w:val="28"/>
        </w:rPr>
      </w:pPr>
      <w:r w:rsidRPr="00EF6B19">
        <w:rPr>
          <w:rFonts w:ascii="Times New Roman" w:hAnsi="Times New Roman"/>
          <w:b/>
          <w:sz w:val="28"/>
          <w:szCs w:val="28"/>
        </w:rPr>
        <w:lastRenderedPageBreak/>
        <w:t>DISCUSSION</w:t>
      </w:r>
    </w:p>
    <w:p w14:paraId="37A3204F" w14:textId="39D06860" w:rsidR="00BF2238" w:rsidRPr="00784C4F" w:rsidRDefault="00BF2238" w:rsidP="00061E17">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Perioperative HTN increases the chances of postoperative increase in CV events like ischemia or dysrhythmias, cerebrovascular events, bleeding, and overall mortality. BP over 180/110 mmHg is arbitrarily taken as a cut off limit to postpone elective surgery in the absence of universally accepted guidelines. (4) This notion is fueled by the fact that both HTN and DM are the commonest underlying comorbidities in senior years.</w:t>
      </w:r>
      <w:r w:rsidRPr="00061E17">
        <w:rPr>
          <w:rFonts w:asciiTheme="majorBidi" w:hAnsiTheme="majorBidi" w:cstheme="majorBidi"/>
          <w:sz w:val="20"/>
          <w:szCs w:val="20"/>
          <w:vertAlign w:val="superscript"/>
        </w:rPr>
        <w:t>5</w:t>
      </w:r>
      <w:r w:rsidRPr="00784C4F">
        <w:rPr>
          <w:rFonts w:asciiTheme="majorBidi" w:hAnsiTheme="majorBidi" w:cstheme="majorBidi"/>
          <w:sz w:val="20"/>
          <w:szCs w:val="20"/>
        </w:rPr>
        <w:t xml:space="preserve"> </w:t>
      </w:r>
    </w:p>
    <w:p w14:paraId="081B4F0B" w14:textId="111AB3B7" w:rsidR="00BF2238" w:rsidRPr="00784C4F" w:rsidRDefault="00BF2238" w:rsidP="004857EB">
      <w:pPr>
        <w:shd w:val="clear" w:color="auto" w:fill="FFFFFF"/>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NICE first issued guidance for the management of </w:t>
      </w:r>
      <w:hyperlink r:id="rId10" w:history="1">
        <w:r w:rsidRPr="00784C4F">
          <w:rPr>
            <w:rStyle w:val="Hyperlink"/>
            <w:rFonts w:asciiTheme="majorBidi" w:hAnsiTheme="majorBidi" w:cstheme="majorBidi"/>
            <w:color w:val="auto"/>
            <w:sz w:val="20"/>
            <w:szCs w:val="20"/>
          </w:rPr>
          <w:t>hypertension</w:t>
        </w:r>
      </w:hyperlink>
      <w:r w:rsidRPr="00784C4F">
        <w:rPr>
          <w:rFonts w:asciiTheme="majorBidi" w:hAnsiTheme="majorBidi" w:cstheme="majorBidi"/>
          <w:sz w:val="20"/>
          <w:szCs w:val="20"/>
        </w:rPr>
        <w:t> in </w:t>
      </w:r>
      <w:hyperlink r:id="rId11" w:history="1">
        <w:r w:rsidRPr="00D86E30">
          <w:rPr>
            <w:rStyle w:val="Hyperlink"/>
            <w:rFonts w:asciiTheme="majorBidi" w:hAnsiTheme="majorBidi" w:cstheme="majorBidi"/>
            <w:color w:val="auto"/>
            <w:sz w:val="20"/>
            <w:szCs w:val="20"/>
            <w:u w:val="none"/>
          </w:rPr>
          <w:t>primary care</w:t>
        </w:r>
      </w:hyperlink>
      <w:r w:rsidRPr="00784C4F">
        <w:rPr>
          <w:rFonts w:asciiTheme="majorBidi" w:hAnsiTheme="majorBidi" w:cstheme="majorBidi"/>
          <w:sz w:val="20"/>
          <w:szCs w:val="20"/>
        </w:rPr>
        <w:t> in 2004. This was followed by a rapid update in 2006, 2011 and 2019 in the chapter for pharmacological treatment.</w:t>
      </w:r>
      <w:r w:rsidRPr="00DC1BC7">
        <w:rPr>
          <w:rFonts w:asciiTheme="majorBidi" w:hAnsiTheme="majorBidi" w:cstheme="majorBidi"/>
          <w:sz w:val="20"/>
          <w:szCs w:val="20"/>
          <w:vertAlign w:val="superscript"/>
        </w:rPr>
        <w:t>6</w:t>
      </w:r>
      <w:proofErr w:type="gramStart"/>
      <w:r w:rsidRPr="00DC1BC7">
        <w:rPr>
          <w:rFonts w:asciiTheme="majorBidi" w:hAnsiTheme="majorBidi" w:cstheme="majorBidi"/>
          <w:sz w:val="20"/>
          <w:szCs w:val="20"/>
          <w:vertAlign w:val="superscript"/>
        </w:rPr>
        <w:t>,7</w:t>
      </w:r>
      <w:proofErr w:type="gramEnd"/>
    </w:p>
    <w:p w14:paraId="1AB41265" w14:textId="1B6239EF" w:rsidR="00BF2238" w:rsidRPr="00784C4F" w:rsidRDefault="00BF2238" w:rsidP="00A533A7">
      <w:pPr>
        <w:spacing w:after="0" w:line="240" w:lineRule="auto"/>
        <w:jc w:val="both"/>
        <w:textAlignment w:val="top"/>
        <w:rPr>
          <w:rFonts w:asciiTheme="majorBidi" w:hAnsiTheme="majorBidi" w:cstheme="majorBidi"/>
          <w:sz w:val="20"/>
          <w:szCs w:val="20"/>
        </w:rPr>
      </w:pPr>
      <w:r w:rsidRPr="00784C4F">
        <w:rPr>
          <w:rFonts w:asciiTheme="majorBidi" w:hAnsiTheme="majorBidi" w:cstheme="majorBidi"/>
          <w:sz w:val="20"/>
          <w:szCs w:val="20"/>
        </w:rPr>
        <w:t xml:space="preserve">As discussed above AHA </w:t>
      </w:r>
      <w:proofErr w:type="gramStart"/>
      <w:r w:rsidRPr="00784C4F">
        <w:rPr>
          <w:rFonts w:asciiTheme="majorBidi" w:hAnsiTheme="majorBidi" w:cstheme="majorBidi"/>
          <w:sz w:val="20"/>
          <w:szCs w:val="20"/>
        </w:rPr>
        <w:t>guidelines clearly mentions</w:t>
      </w:r>
      <w:proofErr w:type="gramEnd"/>
      <w:r w:rsidRPr="00784C4F">
        <w:rPr>
          <w:rFonts w:asciiTheme="majorBidi" w:hAnsiTheme="majorBidi" w:cstheme="majorBidi"/>
          <w:sz w:val="20"/>
          <w:szCs w:val="20"/>
        </w:rPr>
        <w:t xml:space="preserve"> that in Stage 1 and Stage 2 HTN, it is perfectly safe to proceed with surgery as the risk of </w:t>
      </w:r>
      <w:proofErr w:type="spellStart"/>
      <w:r w:rsidRPr="00784C4F">
        <w:rPr>
          <w:rFonts w:asciiTheme="majorBidi" w:hAnsiTheme="majorBidi" w:cstheme="majorBidi"/>
          <w:sz w:val="20"/>
          <w:szCs w:val="20"/>
        </w:rPr>
        <w:t>peri</w:t>
      </w:r>
      <w:proofErr w:type="spellEnd"/>
      <w:r w:rsidRPr="00784C4F">
        <w:rPr>
          <w:rFonts w:asciiTheme="majorBidi" w:hAnsiTheme="majorBidi" w:cstheme="majorBidi"/>
          <w:sz w:val="20"/>
          <w:szCs w:val="20"/>
        </w:rPr>
        <w:t>-operative adverse outcomes is same. However in Stage 3 HTN or in patients with diabetes and renal disease patients recommended targets of &lt;130/85 mmHg and &lt;125/75 mmHg shall be achieved by pharmacotherapy before proceeding for surgery. Similarly in patients 80 years and above relatively relaxed targets around 150/80 mmHg shall be ensured pre-operatively.</w:t>
      </w:r>
      <w:r w:rsidRPr="00016470">
        <w:rPr>
          <w:rFonts w:asciiTheme="majorBidi" w:hAnsiTheme="majorBidi" w:cstheme="majorBidi"/>
          <w:sz w:val="20"/>
          <w:szCs w:val="20"/>
          <w:vertAlign w:val="superscript"/>
        </w:rPr>
        <w:t>2</w:t>
      </w:r>
      <w:proofErr w:type="gramStart"/>
      <w:r w:rsidRPr="00016470">
        <w:rPr>
          <w:rFonts w:asciiTheme="majorBidi" w:hAnsiTheme="majorBidi" w:cstheme="majorBidi"/>
          <w:sz w:val="20"/>
          <w:szCs w:val="20"/>
          <w:vertAlign w:val="superscript"/>
        </w:rPr>
        <w:t>,3</w:t>
      </w:r>
      <w:proofErr w:type="gramEnd"/>
    </w:p>
    <w:p w14:paraId="0932656A" w14:textId="77777777" w:rsidR="00BF2238" w:rsidRPr="00784C4F" w:rsidRDefault="00BF2238" w:rsidP="00BF2238">
      <w:pPr>
        <w:spacing w:after="0" w:line="240" w:lineRule="auto"/>
        <w:jc w:val="both"/>
        <w:textAlignment w:val="top"/>
        <w:outlineLvl w:val="0"/>
        <w:rPr>
          <w:rFonts w:asciiTheme="majorBidi" w:hAnsiTheme="majorBidi" w:cstheme="majorBidi"/>
          <w:sz w:val="20"/>
          <w:szCs w:val="20"/>
        </w:rPr>
      </w:pPr>
      <w:r w:rsidRPr="00784C4F">
        <w:rPr>
          <w:rFonts w:asciiTheme="majorBidi" w:hAnsiTheme="majorBidi" w:cstheme="majorBidi"/>
          <w:sz w:val="20"/>
          <w:szCs w:val="20"/>
        </w:rPr>
        <w:t xml:space="preserve">During the study period 288 surgeries were planned and every fourth (BP above 140/90) patient was referred for revaluation to the physicians due to the concerns by anesthetist. This group comprised of both previously </w:t>
      </w:r>
      <w:r w:rsidRPr="00784C4F">
        <w:rPr>
          <w:rFonts w:asciiTheme="majorBidi" w:hAnsiTheme="majorBidi" w:cstheme="majorBidi"/>
          <w:sz w:val="20"/>
          <w:szCs w:val="20"/>
        </w:rPr>
        <w:lastRenderedPageBreak/>
        <w:t xml:space="preserve">normotensive and known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 xml:space="preserve"> (42%). Out of these 37% (n11) missed the morning dose of their antihypertensive medicine as they were asked to come in fasting state or as per common belief that fasting is mandatory for each surgery. The other 58%, both known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 xml:space="preserve"> and previously normotensive had clear cut evidence of anxiety manifesting as palpitation, tremors and cold sweaty palms. </w:t>
      </w:r>
    </w:p>
    <w:p w14:paraId="6D695A3D" w14:textId="687609A0" w:rsidR="00BF2238" w:rsidRPr="00784C4F" w:rsidRDefault="00BF2238" w:rsidP="00BF732C">
      <w:pPr>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Blood pressure variability (BPV) is a newly developing concept to stress upon the dynamic fluctuations in cardiovascular (CV) regulation under varying environmental (seasons, altitude, stress), physical (posture or volume), and emotional factors as part of BP homeostasis. Evidence is fast emerging to suggest its predictive and prognostic role as a</w:t>
      </w:r>
      <w:r w:rsidR="00DB7634">
        <w:rPr>
          <w:rFonts w:asciiTheme="majorBidi" w:hAnsiTheme="majorBidi" w:cstheme="majorBidi"/>
          <w:sz w:val="20"/>
          <w:szCs w:val="20"/>
        </w:rPr>
        <w:t xml:space="preserve"> </w:t>
      </w:r>
      <w:r w:rsidRPr="00784C4F">
        <w:rPr>
          <w:rFonts w:asciiTheme="majorBidi" w:hAnsiTheme="majorBidi" w:cstheme="majorBidi"/>
          <w:sz w:val="20"/>
          <w:szCs w:val="20"/>
        </w:rPr>
        <w:t>CV risk stratification in addition to average BP levels.</w:t>
      </w:r>
      <w:r w:rsidRPr="00DB7634">
        <w:rPr>
          <w:rFonts w:asciiTheme="majorBidi" w:hAnsiTheme="majorBidi" w:cstheme="majorBidi"/>
          <w:sz w:val="20"/>
          <w:szCs w:val="20"/>
          <w:vertAlign w:val="superscript"/>
        </w:rPr>
        <w:t>8</w:t>
      </w:r>
      <w:r w:rsidRPr="00784C4F">
        <w:rPr>
          <w:rFonts w:asciiTheme="majorBidi" w:hAnsiTheme="majorBidi" w:cstheme="majorBidi"/>
          <w:sz w:val="20"/>
          <w:szCs w:val="20"/>
        </w:rPr>
        <w:t xml:space="preserve"> </w:t>
      </w:r>
      <w:r w:rsidRPr="00784C4F">
        <w:rPr>
          <w:rFonts w:asciiTheme="majorBidi" w:hAnsiTheme="majorBidi" w:cstheme="majorBidi"/>
          <w:sz w:val="20"/>
          <w:szCs w:val="20"/>
          <w:bdr w:val="none" w:sz="0" w:space="0" w:color="auto" w:frame="1"/>
        </w:rPr>
        <w:t>Twenty four hour BP monitoring can gauge the target organ damage at   subclinical level and can better predict the CV risk than the spot office measurement.</w:t>
      </w:r>
      <w:r w:rsidRPr="006042E5">
        <w:rPr>
          <w:rFonts w:asciiTheme="majorBidi" w:hAnsiTheme="majorBidi" w:cstheme="majorBidi"/>
          <w:sz w:val="20"/>
          <w:szCs w:val="20"/>
          <w:bdr w:val="none" w:sz="0" w:space="0" w:color="auto" w:frame="1"/>
          <w:vertAlign w:val="superscript"/>
        </w:rPr>
        <w:t>9</w:t>
      </w:r>
      <w:r w:rsidRPr="00784C4F">
        <w:rPr>
          <w:rFonts w:asciiTheme="majorBidi" w:hAnsiTheme="majorBidi" w:cstheme="majorBidi"/>
          <w:sz w:val="20"/>
          <w:szCs w:val="20"/>
          <w:bdr w:val="none" w:sz="0" w:space="0" w:color="auto" w:frame="1"/>
        </w:rPr>
        <w:t xml:space="preserve"> Though central BP is better reflection of carotid intima–media thickness and left ventricular mass and hence is taken as a better marker of future CV events than peripheral BP, being invasive it can’t be used in day-today clinical practice. It can be measured indirectly and non-invasively by tonometry using arterial flattening to get an almost identical pulse waves when applied to radial, carotid or femoral artery.</w:t>
      </w:r>
      <w:r w:rsidRPr="00BF732C">
        <w:rPr>
          <w:rFonts w:asciiTheme="majorBidi" w:hAnsiTheme="majorBidi" w:cstheme="majorBidi"/>
          <w:sz w:val="20"/>
          <w:szCs w:val="20"/>
          <w:bdr w:val="none" w:sz="0" w:space="0" w:color="auto" w:frame="1"/>
          <w:vertAlign w:val="superscript"/>
        </w:rPr>
        <w:t>10</w:t>
      </w:r>
    </w:p>
    <w:p w14:paraId="7DB7C1FB" w14:textId="4B17DC24" w:rsidR="00BF2238" w:rsidRPr="00784C4F" w:rsidRDefault="00BF2238" w:rsidP="00D92F7A">
      <w:pPr>
        <w:spacing w:after="0" w:line="240" w:lineRule="auto"/>
        <w:jc w:val="both"/>
        <w:textAlignment w:val="baseline"/>
        <w:rPr>
          <w:rFonts w:asciiTheme="majorBidi" w:hAnsiTheme="majorBidi" w:cstheme="majorBidi"/>
          <w:sz w:val="20"/>
          <w:szCs w:val="20"/>
        </w:rPr>
      </w:pPr>
      <w:r w:rsidRPr="00784C4F">
        <w:rPr>
          <w:rFonts w:asciiTheme="majorBidi" w:hAnsiTheme="majorBidi" w:cstheme="majorBidi"/>
          <w:sz w:val="20"/>
          <w:szCs w:val="20"/>
        </w:rPr>
        <w:t xml:space="preserve">BP can be measured by using the reference method of arterial catheterization or non-invasively by intermittent </w:t>
      </w:r>
      <w:proofErr w:type="spellStart"/>
      <w:r w:rsidRPr="00784C4F">
        <w:rPr>
          <w:rFonts w:asciiTheme="majorBidi" w:hAnsiTheme="majorBidi" w:cstheme="majorBidi"/>
          <w:sz w:val="20"/>
          <w:szCs w:val="20"/>
        </w:rPr>
        <w:lastRenderedPageBreak/>
        <w:t>oscillometry</w:t>
      </w:r>
      <w:proofErr w:type="spellEnd"/>
      <w:r w:rsidRPr="00784C4F">
        <w:rPr>
          <w:rFonts w:asciiTheme="majorBidi" w:hAnsiTheme="majorBidi" w:cstheme="majorBidi"/>
          <w:sz w:val="20"/>
          <w:szCs w:val="20"/>
        </w:rPr>
        <w:t xml:space="preserve"> and by continuous finger cuff methods recording. The reference method is limited being technically challenging and having potential complications such as permanent ischemic damage, bleeding and infection. Accuracy of non-invasive intermittent inflatable cuff </w:t>
      </w:r>
      <w:proofErr w:type="spellStart"/>
      <w:r w:rsidRPr="00784C4F">
        <w:rPr>
          <w:rFonts w:asciiTheme="majorBidi" w:hAnsiTheme="majorBidi" w:cstheme="majorBidi"/>
          <w:sz w:val="20"/>
          <w:szCs w:val="20"/>
        </w:rPr>
        <w:t>oscillometry</w:t>
      </w:r>
      <w:proofErr w:type="spellEnd"/>
      <w:r w:rsidRPr="00784C4F">
        <w:rPr>
          <w:rFonts w:asciiTheme="majorBidi" w:hAnsiTheme="majorBidi" w:cstheme="majorBidi"/>
          <w:sz w:val="20"/>
          <w:szCs w:val="20"/>
        </w:rPr>
        <w:t xml:space="preserve"> is dependent on appropriate cuff size and cuff positioning. Finger cuff–based also referred to as the volume clamp method is new promising technology having better agreement with intra-arterial measurements than oscillometry.</w:t>
      </w:r>
      <w:r w:rsidRPr="00D92F7A">
        <w:rPr>
          <w:rFonts w:asciiTheme="majorBidi" w:hAnsiTheme="majorBidi" w:cstheme="majorBidi"/>
          <w:sz w:val="20"/>
          <w:szCs w:val="20"/>
          <w:vertAlign w:val="superscript"/>
        </w:rPr>
        <w:t>11</w:t>
      </w:r>
    </w:p>
    <w:p w14:paraId="5A03E294" w14:textId="2A9926AB" w:rsidR="00BF2238" w:rsidRPr="00784C4F" w:rsidRDefault="00BF2238" w:rsidP="00DC0BD4">
      <w:pPr>
        <w:spacing w:after="0" w:line="240" w:lineRule="auto"/>
        <w:jc w:val="both"/>
        <w:rPr>
          <w:rFonts w:asciiTheme="majorBidi" w:hAnsiTheme="majorBidi" w:cstheme="majorBidi"/>
          <w:sz w:val="20"/>
          <w:szCs w:val="20"/>
        </w:rPr>
      </w:pPr>
      <w:r w:rsidRPr="00784C4F">
        <w:rPr>
          <w:rFonts w:asciiTheme="majorBidi" w:hAnsiTheme="majorBidi" w:cstheme="majorBidi"/>
          <w:sz w:val="20"/>
          <w:szCs w:val="20"/>
        </w:rPr>
        <w:t xml:space="preserve">Cataract surgery is associated with non-ocular </w:t>
      </w:r>
      <w:proofErr w:type="spellStart"/>
      <w:r w:rsidRPr="00784C4F">
        <w:rPr>
          <w:rFonts w:asciiTheme="majorBidi" w:hAnsiTheme="majorBidi" w:cstheme="majorBidi"/>
          <w:sz w:val="20"/>
          <w:szCs w:val="20"/>
        </w:rPr>
        <w:t>peri</w:t>
      </w:r>
      <w:proofErr w:type="spellEnd"/>
      <w:r w:rsidRPr="00784C4F">
        <w:rPr>
          <w:rFonts w:asciiTheme="majorBidi" w:hAnsiTheme="majorBidi" w:cstheme="majorBidi"/>
          <w:sz w:val="20"/>
          <w:szCs w:val="20"/>
        </w:rPr>
        <w:t xml:space="preserve">-operative complications in 2-15% of cases, 90% cases accounted for by labile BP, dysrhythmias and bronchospasm depending upon age and pre-existing disease. Known </w:t>
      </w:r>
      <w:proofErr w:type="spellStart"/>
      <w:r w:rsidRPr="00784C4F">
        <w:rPr>
          <w:rFonts w:asciiTheme="majorBidi" w:hAnsiTheme="majorBidi" w:cstheme="majorBidi"/>
          <w:sz w:val="20"/>
          <w:szCs w:val="20"/>
        </w:rPr>
        <w:t>hypertensives</w:t>
      </w:r>
      <w:proofErr w:type="spellEnd"/>
      <w:r w:rsidRPr="00784C4F">
        <w:rPr>
          <w:rFonts w:asciiTheme="majorBidi" w:hAnsiTheme="majorBidi" w:cstheme="majorBidi"/>
          <w:sz w:val="20"/>
          <w:szCs w:val="20"/>
        </w:rPr>
        <w:t xml:space="preserve"> with or without proper preoperative good control and with or without other comorbidities, are always more problematic during </w:t>
      </w:r>
      <w:proofErr w:type="spellStart"/>
      <w:r w:rsidRPr="00784C4F">
        <w:rPr>
          <w:rFonts w:asciiTheme="majorBidi" w:hAnsiTheme="majorBidi" w:cstheme="majorBidi"/>
          <w:sz w:val="20"/>
          <w:szCs w:val="20"/>
        </w:rPr>
        <w:t>peri</w:t>
      </w:r>
      <w:proofErr w:type="spellEnd"/>
      <w:r w:rsidRPr="00784C4F">
        <w:rPr>
          <w:rFonts w:asciiTheme="majorBidi" w:hAnsiTheme="majorBidi" w:cstheme="majorBidi"/>
          <w:sz w:val="20"/>
          <w:szCs w:val="20"/>
        </w:rPr>
        <w:t xml:space="preserve">-operative period. One must appreciate the difference between the increased chances of having complications in hypertensive but the actual </w:t>
      </w:r>
      <w:proofErr w:type="gramStart"/>
      <w:r w:rsidRPr="00784C4F">
        <w:rPr>
          <w:rFonts w:asciiTheme="majorBidi" w:hAnsiTheme="majorBidi" w:cstheme="majorBidi"/>
          <w:sz w:val="20"/>
          <w:szCs w:val="20"/>
        </w:rPr>
        <w:t>degree of being above the normal BP have</w:t>
      </w:r>
      <w:proofErr w:type="gramEnd"/>
      <w:r w:rsidRPr="00784C4F">
        <w:rPr>
          <w:rFonts w:asciiTheme="majorBidi" w:hAnsiTheme="majorBidi" w:cstheme="majorBidi"/>
          <w:sz w:val="20"/>
          <w:szCs w:val="20"/>
        </w:rPr>
        <w:t xml:space="preserve"> no association with increased risk of complications. It implies that the actual per-operative readings in stage 1 and 2 range does not increase the chances of adverse events and shall not be a reason for concern or postponement of surgery. Any such decision must be weighed against urgency and potential risk for postponement on individual basis. These patients are definitely at increased risk, though small, of dysrhythmias and even silent myocardial ischemia.</w:t>
      </w:r>
      <w:r w:rsidRPr="00DC0BD4">
        <w:rPr>
          <w:rFonts w:asciiTheme="majorBidi" w:hAnsiTheme="majorBidi" w:cstheme="majorBidi"/>
          <w:sz w:val="20"/>
          <w:szCs w:val="20"/>
          <w:vertAlign w:val="superscript"/>
        </w:rPr>
        <w:t>12</w:t>
      </w:r>
    </w:p>
    <w:p w14:paraId="42BD81C0" w14:textId="465F453D" w:rsidR="00822107" w:rsidRPr="00EF6B19" w:rsidRDefault="00BF2238" w:rsidP="00431E7A">
      <w:pPr>
        <w:shd w:val="clear" w:color="auto" w:fill="FFFFFF"/>
        <w:spacing w:after="0" w:line="240" w:lineRule="auto"/>
        <w:jc w:val="both"/>
        <w:rPr>
          <w:rFonts w:ascii="Times New Roman" w:hAnsi="Times New Roman"/>
          <w:b/>
          <w:bCs/>
          <w:sz w:val="20"/>
          <w:szCs w:val="20"/>
        </w:rPr>
      </w:pPr>
      <w:r w:rsidRPr="00784C4F">
        <w:rPr>
          <w:rFonts w:asciiTheme="majorBidi" w:hAnsiTheme="majorBidi" w:cstheme="majorBidi"/>
          <w:sz w:val="20"/>
          <w:szCs w:val="20"/>
        </w:rPr>
        <w:t xml:space="preserve">It is established that in non-cardiac surgeries very tight </w:t>
      </w:r>
      <w:proofErr w:type="spellStart"/>
      <w:r w:rsidRPr="00784C4F">
        <w:rPr>
          <w:rFonts w:asciiTheme="majorBidi" w:hAnsiTheme="majorBidi" w:cstheme="majorBidi"/>
          <w:sz w:val="20"/>
          <w:szCs w:val="20"/>
        </w:rPr>
        <w:t>prei</w:t>
      </w:r>
      <w:proofErr w:type="spellEnd"/>
      <w:r w:rsidRPr="00784C4F">
        <w:rPr>
          <w:rFonts w:asciiTheme="majorBidi" w:hAnsiTheme="majorBidi" w:cstheme="majorBidi"/>
          <w:sz w:val="20"/>
          <w:szCs w:val="20"/>
        </w:rPr>
        <w:t>-operative blood pressure control doesn’t significantly affect the surgical outcome, one just need to maintain it in close proximity to the individuals baseline. Here the approach needs to be personalized considering the routine BP and presence of complications, associated components of the metabolic syndrome and the type of surgery.</w:t>
      </w:r>
      <w:r w:rsidRPr="00431E7A">
        <w:rPr>
          <w:rFonts w:asciiTheme="majorBidi" w:hAnsiTheme="majorBidi" w:cstheme="majorBidi"/>
          <w:sz w:val="20"/>
          <w:szCs w:val="20"/>
          <w:vertAlign w:val="superscript"/>
        </w:rPr>
        <w:t>13</w:t>
      </w:r>
      <w:r w:rsidRPr="00784C4F">
        <w:rPr>
          <w:rFonts w:asciiTheme="majorBidi" w:hAnsiTheme="majorBidi" w:cstheme="majorBidi"/>
          <w:sz w:val="20"/>
          <w:szCs w:val="20"/>
        </w:rPr>
        <w:t xml:space="preserve"> In the absence of these risk factors, a single preoperative reading below 180/110 mmHg shall not become the reason for panic and postponement of planned surgery.</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47C032F" w14:textId="11DF57A5" w:rsidR="00822107" w:rsidRDefault="001A6770" w:rsidP="00081BD3">
      <w:pPr>
        <w:pStyle w:val="ListParagraph"/>
        <w:shd w:val="clear" w:color="auto" w:fill="FFFFFF"/>
        <w:spacing w:after="0" w:line="240" w:lineRule="auto"/>
        <w:ind w:left="0"/>
        <w:contextualSpacing w:val="0"/>
        <w:jc w:val="both"/>
        <w:rPr>
          <w:rFonts w:ascii="Times New Roman" w:hAnsi="Times New Roman" w:cs="Times New Roman"/>
          <w:b/>
          <w:szCs w:val="24"/>
          <w:lang w:val="en-US"/>
        </w:rPr>
      </w:pPr>
      <w:r w:rsidRPr="00784C4F">
        <w:rPr>
          <w:rFonts w:asciiTheme="majorBidi" w:hAnsiTheme="majorBidi" w:cstheme="majorBidi"/>
          <w:szCs w:val="20"/>
        </w:rPr>
        <w:t xml:space="preserve">Perioperative HTN increases the chances of postoperative increase in CV events like ischemia or dysrhythmias, cerebrovascular events, bleeding, and overall mortality. BP over 180/110 mmHg is arbitrarily taken as a cut off limit to postpone elective surgery in the absence of universally accepted guidelines. Blood pressure variability (BPV) is a newly developing concept to stress upon the dynamic fluctuations in cardiovascular (CV) regulation under varying environmental, physical, and emotional factors as part of BP homeostasis. AHA guidelines clearly mentions that in Stage 1 and Stage 2 HTN it is perfectly safe to proceed with surgery as the risk of </w:t>
      </w:r>
      <w:proofErr w:type="spellStart"/>
      <w:r w:rsidRPr="00784C4F">
        <w:rPr>
          <w:rFonts w:asciiTheme="majorBidi" w:hAnsiTheme="majorBidi" w:cstheme="majorBidi"/>
          <w:szCs w:val="20"/>
        </w:rPr>
        <w:t>peri</w:t>
      </w:r>
      <w:proofErr w:type="spellEnd"/>
      <w:r w:rsidRPr="00784C4F">
        <w:rPr>
          <w:rFonts w:asciiTheme="majorBidi" w:hAnsiTheme="majorBidi" w:cstheme="majorBidi"/>
          <w:szCs w:val="20"/>
        </w:rPr>
        <w:t xml:space="preserve">-operative adverse outcomes is same. However in Stage 3 HTN or </w:t>
      </w:r>
      <w:r w:rsidRPr="00784C4F">
        <w:rPr>
          <w:rFonts w:asciiTheme="majorBidi" w:hAnsiTheme="majorBidi" w:cstheme="majorBidi"/>
          <w:szCs w:val="20"/>
        </w:rPr>
        <w:lastRenderedPageBreak/>
        <w:t>in patients above 80 years or in patients with diabetes and renal disease patients recommended targets of &lt;130/85 mmHg and &lt;125/75 mmHg shall be achieved by pharmacotherapy before proceeding for surgery.</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168D9B6D" w:rsidR="009051A7" w:rsidRPr="00EF6B19" w:rsidRDefault="00EC7D31" w:rsidP="009F5EA9">
            <w:pPr>
              <w:shd w:val="clear" w:color="auto" w:fill="FFFFFF"/>
              <w:tabs>
                <w:tab w:val="left" w:pos="2610"/>
              </w:tabs>
              <w:spacing w:after="0" w:line="240" w:lineRule="auto"/>
              <w:rPr>
                <w:rFonts w:ascii="Times New Roman" w:eastAsia="Arial" w:hAnsi="Times New Roman"/>
                <w:sz w:val="20"/>
              </w:rPr>
            </w:pPr>
            <w:r w:rsidRPr="001329E3">
              <w:rPr>
                <w:rFonts w:asciiTheme="majorBidi" w:hAnsiTheme="majorBidi" w:cstheme="majorBidi"/>
                <w:sz w:val="20"/>
                <w:szCs w:val="20"/>
              </w:rPr>
              <w:t xml:space="preserve">Mohammad </w:t>
            </w:r>
            <w:proofErr w:type="spellStart"/>
            <w:r w:rsidRPr="001329E3">
              <w:rPr>
                <w:rFonts w:asciiTheme="majorBidi" w:hAnsiTheme="majorBidi" w:cstheme="majorBidi"/>
                <w:sz w:val="20"/>
                <w:szCs w:val="20"/>
              </w:rPr>
              <w:t>Mohsin</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Rana</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0A6B0357" w:rsidR="009051A7" w:rsidRPr="00EF6B19" w:rsidRDefault="00776DE9" w:rsidP="009F5EA9">
            <w:pPr>
              <w:shd w:val="clear" w:color="auto" w:fill="FFFFFF"/>
              <w:tabs>
                <w:tab w:val="left" w:pos="2610"/>
              </w:tabs>
              <w:spacing w:after="0" w:line="240" w:lineRule="auto"/>
              <w:rPr>
                <w:rFonts w:ascii="Times New Roman" w:eastAsia="Arial" w:hAnsi="Times New Roman"/>
                <w:sz w:val="20"/>
              </w:rPr>
            </w:pPr>
            <w:proofErr w:type="spellStart"/>
            <w:r w:rsidRPr="001329E3">
              <w:rPr>
                <w:rFonts w:asciiTheme="majorBidi" w:hAnsiTheme="majorBidi" w:cstheme="majorBidi"/>
                <w:sz w:val="20"/>
                <w:szCs w:val="20"/>
              </w:rPr>
              <w:t>Sajid</w:t>
            </w:r>
            <w:proofErr w:type="spellEnd"/>
            <w:r w:rsidRPr="001329E3">
              <w:rPr>
                <w:rFonts w:asciiTheme="majorBidi" w:hAnsiTheme="majorBidi" w:cstheme="majorBidi"/>
                <w:sz w:val="20"/>
                <w:szCs w:val="20"/>
              </w:rPr>
              <w:t xml:space="preserve"> Rashid</w:t>
            </w:r>
            <w:r w:rsidR="00E917FD">
              <w:rPr>
                <w:rFonts w:asciiTheme="majorBidi" w:hAnsiTheme="majorBidi" w:cstheme="majorBidi"/>
                <w:sz w:val="20"/>
                <w:szCs w:val="20"/>
              </w:rPr>
              <w:t xml:space="preserve"> </w:t>
            </w:r>
            <w:proofErr w:type="spellStart"/>
            <w:r w:rsidR="00E917FD">
              <w:rPr>
                <w:rFonts w:asciiTheme="majorBidi" w:hAnsiTheme="majorBidi" w:cstheme="majorBidi"/>
                <w:sz w:val="20"/>
                <w:szCs w:val="20"/>
              </w:rPr>
              <w:t>Nagra</w:t>
            </w:r>
            <w:proofErr w:type="spellEnd"/>
            <w:r>
              <w:rPr>
                <w:rFonts w:asciiTheme="majorBidi" w:hAnsiTheme="majorBidi" w:cstheme="majorBidi"/>
                <w:szCs w:val="20"/>
              </w:rPr>
              <w:t>,</w:t>
            </w:r>
            <w:r>
              <w:rPr>
                <w:rFonts w:asciiTheme="majorBidi" w:hAnsiTheme="majorBidi" w:cstheme="majorBidi"/>
                <w:sz w:val="20"/>
                <w:szCs w:val="20"/>
              </w:rPr>
              <w:t xml:space="preserve"> </w:t>
            </w:r>
            <w:proofErr w:type="spellStart"/>
            <w:r w:rsidRPr="001329E3">
              <w:rPr>
                <w:rFonts w:asciiTheme="majorBidi" w:hAnsiTheme="majorBidi" w:cstheme="majorBidi"/>
                <w:sz w:val="20"/>
                <w:szCs w:val="20"/>
              </w:rPr>
              <w:t>Zafar</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Latif</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Awan</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15D34D74" w:rsidR="009051A7" w:rsidRPr="00EF6B19" w:rsidRDefault="007A33A6" w:rsidP="008F20A2">
            <w:pPr>
              <w:shd w:val="clear" w:color="auto" w:fill="FFFFFF"/>
              <w:tabs>
                <w:tab w:val="left" w:pos="2610"/>
              </w:tabs>
              <w:spacing w:after="0" w:line="240" w:lineRule="auto"/>
              <w:rPr>
                <w:rFonts w:ascii="Times New Roman" w:eastAsia="Arial" w:hAnsi="Times New Roman"/>
                <w:sz w:val="20"/>
              </w:rPr>
            </w:pPr>
            <w:r w:rsidRPr="001329E3">
              <w:rPr>
                <w:rFonts w:asciiTheme="majorBidi" w:hAnsiTheme="majorBidi" w:cstheme="majorBidi"/>
                <w:sz w:val="20"/>
                <w:szCs w:val="20"/>
              </w:rPr>
              <w:t xml:space="preserve">Danish </w:t>
            </w:r>
            <w:proofErr w:type="spellStart"/>
            <w:r w:rsidRPr="001329E3">
              <w:rPr>
                <w:rFonts w:asciiTheme="majorBidi" w:hAnsiTheme="majorBidi" w:cstheme="majorBidi"/>
                <w:sz w:val="20"/>
                <w:szCs w:val="20"/>
              </w:rPr>
              <w:t>Gani</w:t>
            </w:r>
            <w:proofErr w:type="spellEnd"/>
            <w:r>
              <w:rPr>
                <w:rFonts w:asciiTheme="majorBidi" w:hAnsiTheme="majorBidi" w:cstheme="majorBidi"/>
                <w:szCs w:val="20"/>
              </w:rPr>
              <w:t>,</w:t>
            </w:r>
            <w:r>
              <w:rPr>
                <w:rFonts w:asciiTheme="majorBidi" w:hAnsiTheme="majorBidi" w:cstheme="majorBidi"/>
                <w:sz w:val="20"/>
                <w:szCs w:val="20"/>
              </w:rPr>
              <w:t xml:space="preserve"> </w:t>
            </w:r>
            <w:proofErr w:type="spellStart"/>
            <w:r w:rsidRPr="001329E3">
              <w:rPr>
                <w:rFonts w:asciiTheme="majorBidi" w:hAnsiTheme="majorBidi" w:cstheme="majorBidi"/>
                <w:sz w:val="20"/>
                <w:szCs w:val="20"/>
              </w:rPr>
              <w:t>Zafar</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Iqbal</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Zafar</w:t>
            </w:r>
            <w:proofErr w:type="spellEnd"/>
            <w:r>
              <w:rPr>
                <w:rFonts w:asciiTheme="majorBidi" w:hAnsiTheme="majorBidi" w:cstheme="majorBidi"/>
                <w:szCs w:val="20"/>
              </w:rPr>
              <w:t>,</w:t>
            </w:r>
            <w:r>
              <w:rPr>
                <w:rFonts w:asciiTheme="majorBidi" w:hAnsiTheme="majorBidi" w:cstheme="majorBidi"/>
                <w:sz w:val="20"/>
                <w:szCs w:val="20"/>
              </w:rPr>
              <w:t xml:space="preserve"> </w:t>
            </w:r>
            <w:r w:rsidR="008F20A2" w:rsidRPr="00CE4DEF">
              <w:rPr>
                <w:rFonts w:asciiTheme="majorBidi" w:hAnsiTheme="majorBidi" w:cstheme="majorBidi"/>
                <w:sz w:val="20"/>
                <w:szCs w:val="20"/>
              </w:rPr>
              <w:t xml:space="preserve">Muhammad </w:t>
            </w:r>
            <w:proofErr w:type="spellStart"/>
            <w:r w:rsidR="008F20A2" w:rsidRPr="00CE4DEF">
              <w:rPr>
                <w:rFonts w:asciiTheme="majorBidi" w:hAnsiTheme="majorBidi" w:cstheme="majorBidi"/>
                <w:sz w:val="20"/>
                <w:szCs w:val="20"/>
              </w:rPr>
              <w:t>Saleem</w:t>
            </w:r>
            <w:proofErr w:type="spellEnd"/>
            <w:r w:rsidR="008F20A2" w:rsidRPr="00CE4DEF">
              <w:rPr>
                <w:rFonts w:asciiTheme="majorBidi" w:hAnsiTheme="majorBidi" w:cstheme="majorBidi"/>
                <w:sz w:val="20"/>
                <w:szCs w:val="20"/>
              </w:rPr>
              <w:t xml:space="preserve"> </w:t>
            </w:r>
            <w:proofErr w:type="spellStart"/>
            <w:r w:rsidR="008F20A2" w:rsidRPr="00CE4DEF">
              <w:rPr>
                <w:rFonts w:asciiTheme="majorBidi" w:hAnsiTheme="majorBidi" w:cstheme="majorBidi"/>
                <w:sz w:val="20"/>
                <w:szCs w:val="20"/>
              </w:rPr>
              <w:t>Akhtar</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2C977604" w:rsidR="009051A7" w:rsidRPr="00EF6B19" w:rsidRDefault="00E234D5" w:rsidP="009F5EA9">
            <w:pPr>
              <w:shd w:val="clear" w:color="auto" w:fill="FFFFFF"/>
              <w:tabs>
                <w:tab w:val="left" w:pos="2610"/>
              </w:tabs>
              <w:spacing w:after="0" w:line="240" w:lineRule="auto"/>
              <w:rPr>
                <w:rFonts w:ascii="Times New Roman" w:eastAsia="Arial" w:hAnsi="Times New Roman"/>
                <w:sz w:val="20"/>
              </w:rPr>
            </w:pPr>
            <w:r w:rsidRPr="001329E3">
              <w:rPr>
                <w:rFonts w:asciiTheme="majorBidi" w:hAnsiTheme="majorBidi" w:cstheme="majorBidi"/>
                <w:sz w:val="20"/>
                <w:szCs w:val="20"/>
              </w:rPr>
              <w:t xml:space="preserve">Mohammad </w:t>
            </w:r>
            <w:proofErr w:type="spellStart"/>
            <w:r w:rsidRPr="001329E3">
              <w:rPr>
                <w:rFonts w:asciiTheme="majorBidi" w:hAnsiTheme="majorBidi" w:cstheme="majorBidi"/>
                <w:sz w:val="20"/>
                <w:szCs w:val="20"/>
              </w:rPr>
              <w:t>Mohsin</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Rana</w:t>
            </w:r>
            <w:proofErr w:type="spellEnd"/>
            <w:r w:rsidR="00A70134">
              <w:rPr>
                <w:rFonts w:asciiTheme="majorBidi" w:hAnsiTheme="majorBidi" w:cstheme="majorBidi"/>
                <w:sz w:val="20"/>
                <w:szCs w:val="20"/>
              </w:rPr>
              <w:t xml:space="preserve">, </w:t>
            </w:r>
            <w:proofErr w:type="spellStart"/>
            <w:r w:rsidR="00A70134" w:rsidRPr="001329E3">
              <w:rPr>
                <w:rFonts w:asciiTheme="majorBidi" w:hAnsiTheme="majorBidi" w:cstheme="majorBidi"/>
                <w:sz w:val="20"/>
                <w:szCs w:val="20"/>
              </w:rPr>
              <w:t>Sajid</w:t>
            </w:r>
            <w:proofErr w:type="spellEnd"/>
            <w:r w:rsidR="00A70134" w:rsidRPr="001329E3">
              <w:rPr>
                <w:rFonts w:asciiTheme="majorBidi" w:hAnsiTheme="majorBidi" w:cstheme="majorBidi"/>
                <w:sz w:val="20"/>
                <w:szCs w:val="20"/>
              </w:rPr>
              <w:t xml:space="preserve"> Rashid</w:t>
            </w:r>
            <w:r w:rsidR="008C4EB4">
              <w:rPr>
                <w:rFonts w:asciiTheme="majorBidi" w:hAnsiTheme="majorBidi" w:cstheme="majorBidi"/>
                <w:sz w:val="20"/>
                <w:szCs w:val="20"/>
              </w:rPr>
              <w:t xml:space="preserve"> </w:t>
            </w:r>
            <w:proofErr w:type="spellStart"/>
            <w:r w:rsidR="008A6DA9">
              <w:rPr>
                <w:rFonts w:asciiTheme="majorBidi" w:hAnsiTheme="majorBidi" w:cstheme="majorBidi"/>
                <w:sz w:val="20"/>
                <w:szCs w:val="20"/>
              </w:rPr>
              <w:t>Nagra</w:t>
            </w:r>
            <w:proofErr w:type="spellEnd"/>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5BE5F34A" w:rsidR="009051A7" w:rsidRPr="00EF6B19" w:rsidRDefault="005648C4" w:rsidP="009F5EA9">
            <w:pPr>
              <w:shd w:val="clear" w:color="auto" w:fill="FFFFFF"/>
              <w:tabs>
                <w:tab w:val="left" w:pos="2610"/>
              </w:tabs>
              <w:spacing w:after="0" w:line="240" w:lineRule="auto"/>
              <w:rPr>
                <w:rFonts w:ascii="Times New Roman" w:eastAsia="Arial" w:hAnsi="Times New Roman"/>
                <w:sz w:val="20"/>
              </w:rPr>
            </w:pPr>
            <w:r w:rsidRPr="001329E3">
              <w:rPr>
                <w:rFonts w:asciiTheme="majorBidi" w:hAnsiTheme="majorBidi" w:cstheme="majorBidi"/>
                <w:sz w:val="20"/>
                <w:szCs w:val="20"/>
              </w:rPr>
              <w:t xml:space="preserve">Mohammad </w:t>
            </w:r>
            <w:proofErr w:type="spellStart"/>
            <w:r w:rsidRPr="001329E3">
              <w:rPr>
                <w:rFonts w:asciiTheme="majorBidi" w:hAnsiTheme="majorBidi" w:cstheme="majorBidi"/>
                <w:sz w:val="20"/>
                <w:szCs w:val="20"/>
              </w:rPr>
              <w:t>Mohsin</w:t>
            </w:r>
            <w:proofErr w:type="spellEnd"/>
            <w:r w:rsidRPr="001329E3">
              <w:rPr>
                <w:rFonts w:asciiTheme="majorBidi" w:hAnsiTheme="majorBidi" w:cstheme="majorBidi"/>
                <w:sz w:val="20"/>
                <w:szCs w:val="20"/>
              </w:rPr>
              <w:t xml:space="preserve"> </w:t>
            </w:r>
            <w:proofErr w:type="spellStart"/>
            <w:r w:rsidRPr="001329E3">
              <w:rPr>
                <w:rFonts w:asciiTheme="majorBidi" w:hAnsiTheme="majorBidi" w:cstheme="majorBidi"/>
                <w:sz w:val="20"/>
                <w:szCs w:val="20"/>
              </w:rPr>
              <w:t>Rana</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0DB8B010" w14:textId="77777777" w:rsidR="00D755E9" w:rsidRPr="00784C4F" w:rsidRDefault="008B41DC" w:rsidP="00D755E9">
      <w:pPr>
        <w:widowControl w:val="0"/>
        <w:numPr>
          <w:ilvl w:val="0"/>
          <w:numId w:val="1"/>
        </w:numPr>
        <w:shd w:val="clear" w:color="auto" w:fill="FFFFFF"/>
        <w:spacing w:after="0" w:line="240" w:lineRule="auto"/>
        <w:ind w:left="360"/>
        <w:jc w:val="both"/>
        <w:rPr>
          <w:rFonts w:asciiTheme="majorBidi" w:hAnsiTheme="majorBidi" w:cstheme="majorBidi"/>
          <w:bCs/>
          <w:sz w:val="20"/>
          <w:szCs w:val="20"/>
        </w:rPr>
      </w:pPr>
      <w:hyperlink r:id="rId12" w:history="1">
        <w:r w:rsidR="00D755E9" w:rsidRPr="00784C4F">
          <w:rPr>
            <w:rStyle w:val="Hyperlink"/>
            <w:rFonts w:asciiTheme="majorBidi" w:hAnsiTheme="majorBidi" w:cstheme="majorBidi"/>
            <w:color w:val="auto"/>
            <w:sz w:val="20"/>
            <w:szCs w:val="20"/>
          </w:rPr>
          <w:t>Crowther</w:t>
        </w:r>
      </w:hyperlink>
      <w:r w:rsidR="00D755E9" w:rsidRPr="00784C4F">
        <w:rPr>
          <w:rStyle w:val="Hyperlink"/>
          <w:rFonts w:asciiTheme="majorBidi" w:hAnsiTheme="majorBidi" w:cstheme="majorBidi"/>
          <w:color w:val="auto"/>
          <w:sz w:val="20"/>
          <w:szCs w:val="20"/>
        </w:rPr>
        <w:t xml:space="preserve"> M</w:t>
      </w:r>
      <w:r w:rsidR="00D755E9" w:rsidRPr="00784C4F">
        <w:rPr>
          <w:rFonts w:asciiTheme="majorBidi" w:hAnsiTheme="majorBidi" w:cstheme="majorBidi"/>
          <w:sz w:val="20"/>
          <w:szCs w:val="20"/>
        </w:rPr>
        <w:t>, </w:t>
      </w:r>
      <w:hyperlink r:id="rId13" w:history="1">
        <w:r w:rsidR="00D755E9" w:rsidRPr="00784C4F">
          <w:rPr>
            <w:rStyle w:val="Hyperlink"/>
            <w:rFonts w:asciiTheme="majorBidi" w:hAnsiTheme="majorBidi" w:cstheme="majorBidi"/>
            <w:color w:val="auto"/>
            <w:sz w:val="20"/>
            <w:szCs w:val="20"/>
          </w:rPr>
          <w:t xml:space="preserve"> van der Spuy</w:t>
        </w:r>
      </w:hyperlink>
      <w:r w:rsidR="00D755E9" w:rsidRPr="00784C4F">
        <w:rPr>
          <w:rStyle w:val="Hyperlink"/>
          <w:rFonts w:asciiTheme="majorBidi" w:hAnsiTheme="majorBidi" w:cstheme="majorBidi"/>
          <w:color w:val="auto"/>
          <w:sz w:val="20"/>
          <w:szCs w:val="20"/>
        </w:rPr>
        <w:t xml:space="preserve"> K</w:t>
      </w:r>
      <w:r w:rsidR="00D755E9" w:rsidRPr="00784C4F">
        <w:rPr>
          <w:rFonts w:asciiTheme="majorBidi" w:hAnsiTheme="majorBidi" w:cstheme="majorBidi"/>
          <w:sz w:val="20"/>
          <w:szCs w:val="20"/>
        </w:rPr>
        <w:t>, </w:t>
      </w:r>
      <w:hyperlink r:id="rId14" w:history="1">
        <w:r w:rsidR="00D755E9" w:rsidRPr="00784C4F">
          <w:rPr>
            <w:rStyle w:val="Hyperlink"/>
            <w:rFonts w:asciiTheme="majorBidi" w:hAnsiTheme="majorBidi" w:cstheme="majorBidi"/>
            <w:color w:val="auto"/>
            <w:sz w:val="20"/>
            <w:szCs w:val="20"/>
          </w:rPr>
          <w:t xml:space="preserve"> Roodt</w:t>
        </w:r>
      </w:hyperlink>
      <w:r w:rsidR="00D755E9" w:rsidRPr="00784C4F">
        <w:rPr>
          <w:rStyle w:val="Hyperlink"/>
          <w:rFonts w:asciiTheme="majorBidi" w:hAnsiTheme="majorBidi" w:cstheme="majorBidi"/>
          <w:color w:val="auto"/>
          <w:sz w:val="20"/>
          <w:szCs w:val="20"/>
        </w:rPr>
        <w:t xml:space="preserve"> F</w:t>
      </w:r>
      <w:r w:rsidR="00D755E9" w:rsidRPr="00784C4F">
        <w:rPr>
          <w:rFonts w:asciiTheme="majorBidi" w:hAnsiTheme="majorBidi" w:cstheme="majorBidi"/>
          <w:sz w:val="20"/>
          <w:szCs w:val="20"/>
        </w:rPr>
        <w:t>, </w:t>
      </w:r>
      <w:hyperlink r:id="rId15" w:history="1">
        <w:r w:rsidR="00D755E9" w:rsidRPr="00784C4F">
          <w:rPr>
            <w:rStyle w:val="Hyperlink"/>
            <w:rFonts w:asciiTheme="majorBidi" w:hAnsiTheme="majorBidi" w:cstheme="majorBidi"/>
            <w:color w:val="auto"/>
            <w:sz w:val="20"/>
            <w:szCs w:val="20"/>
          </w:rPr>
          <w:t>Nejthardt</w:t>
        </w:r>
      </w:hyperlink>
      <w:r w:rsidR="00D755E9" w:rsidRPr="00784C4F">
        <w:rPr>
          <w:rStyle w:val="Hyperlink"/>
          <w:rFonts w:asciiTheme="majorBidi" w:hAnsiTheme="majorBidi" w:cstheme="majorBidi"/>
          <w:color w:val="auto"/>
          <w:sz w:val="20"/>
          <w:szCs w:val="20"/>
        </w:rPr>
        <w:t xml:space="preserve"> MB</w:t>
      </w:r>
      <w:r w:rsidR="00D755E9" w:rsidRPr="00784C4F">
        <w:rPr>
          <w:rFonts w:asciiTheme="majorBidi" w:hAnsiTheme="majorBidi" w:cstheme="majorBidi"/>
          <w:sz w:val="20"/>
          <w:szCs w:val="20"/>
        </w:rPr>
        <w:t>, </w:t>
      </w:r>
      <w:hyperlink r:id="rId16" w:history="1">
        <w:r w:rsidR="00D755E9" w:rsidRPr="00784C4F">
          <w:rPr>
            <w:rStyle w:val="Hyperlink"/>
            <w:rFonts w:asciiTheme="majorBidi" w:hAnsiTheme="majorBidi" w:cstheme="majorBidi"/>
            <w:color w:val="auto"/>
            <w:sz w:val="20"/>
            <w:szCs w:val="20"/>
          </w:rPr>
          <w:t>Davids</w:t>
        </w:r>
      </w:hyperlink>
      <w:r w:rsidR="00D755E9" w:rsidRPr="00784C4F">
        <w:rPr>
          <w:rStyle w:val="Hyperlink"/>
          <w:rFonts w:asciiTheme="majorBidi" w:hAnsiTheme="majorBidi" w:cstheme="majorBidi"/>
          <w:color w:val="auto"/>
          <w:sz w:val="20"/>
          <w:szCs w:val="20"/>
        </w:rPr>
        <w:t xml:space="preserve"> JG</w:t>
      </w:r>
      <w:r w:rsidR="00D755E9" w:rsidRPr="00784C4F">
        <w:rPr>
          <w:rFonts w:asciiTheme="majorBidi" w:hAnsiTheme="majorBidi" w:cstheme="majorBidi"/>
          <w:sz w:val="20"/>
          <w:szCs w:val="20"/>
        </w:rPr>
        <w:t>, </w:t>
      </w:r>
      <w:hyperlink r:id="rId17" w:history="1">
        <w:r w:rsidR="00D755E9" w:rsidRPr="00784C4F">
          <w:rPr>
            <w:rStyle w:val="Hyperlink"/>
            <w:rFonts w:asciiTheme="majorBidi" w:hAnsiTheme="majorBidi" w:cstheme="majorBidi"/>
            <w:color w:val="auto"/>
            <w:sz w:val="20"/>
            <w:szCs w:val="20"/>
          </w:rPr>
          <w:t>Roos</w:t>
        </w:r>
      </w:hyperlink>
      <w:r w:rsidR="00D755E9" w:rsidRPr="00784C4F">
        <w:rPr>
          <w:rStyle w:val="Hyperlink"/>
          <w:rFonts w:asciiTheme="majorBidi" w:hAnsiTheme="majorBidi" w:cstheme="majorBidi"/>
          <w:color w:val="auto"/>
          <w:sz w:val="20"/>
          <w:szCs w:val="20"/>
        </w:rPr>
        <w:t xml:space="preserve"> J</w:t>
      </w:r>
      <w:r w:rsidR="00D755E9" w:rsidRPr="00784C4F">
        <w:rPr>
          <w:rFonts w:asciiTheme="majorBidi" w:hAnsiTheme="majorBidi" w:cstheme="majorBidi"/>
          <w:sz w:val="20"/>
          <w:szCs w:val="20"/>
        </w:rPr>
        <w:t xml:space="preserve">, et al. </w:t>
      </w:r>
      <w:r w:rsidR="00D755E9" w:rsidRPr="00784C4F">
        <w:rPr>
          <w:rFonts w:asciiTheme="majorBidi" w:hAnsiTheme="majorBidi" w:cstheme="majorBidi"/>
          <w:bCs/>
          <w:kern w:val="36"/>
          <w:sz w:val="20"/>
          <w:szCs w:val="20"/>
        </w:rPr>
        <w:t xml:space="preserve">The relationship between pre-operative hypertension and intra-operative </w:t>
      </w:r>
      <w:proofErr w:type="spellStart"/>
      <w:r w:rsidR="00D755E9" w:rsidRPr="00784C4F">
        <w:rPr>
          <w:rFonts w:asciiTheme="majorBidi" w:hAnsiTheme="majorBidi" w:cstheme="majorBidi"/>
          <w:bCs/>
          <w:kern w:val="36"/>
          <w:sz w:val="20"/>
          <w:szCs w:val="20"/>
        </w:rPr>
        <w:t>haemodynamic</w:t>
      </w:r>
      <w:proofErr w:type="spellEnd"/>
      <w:r w:rsidR="00D755E9" w:rsidRPr="00784C4F">
        <w:rPr>
          <w:rFonts w:asciiTheme="majorBidi" w:hAnsiTheme="majorBidi" w:cstheme="majorBidi"/>
          <w:bCs/>
          <w:kern w:val="36"/>
          <w:sz w:val="20"/>
          <w:szCs w:val="20"/>
        </w:rPr>
        <w:t xml:space="preserve"> changes known to be associated with postoperative morbidity. </w:t>
      </w:r>
      <w:hyperlink r:id="rId18" w:history="1">
        <w:r w:rsidR="00D755E9" w:rsidRPr="00784C4F">
          <w:rPr>
            <w:rStyle w:val="Hyperlink"/>
            <w:rFonts w:asciiTheme="majorBidi" w:hAnsiTheme="majorBidi" w:cstheme="majorBidi"/>
            <w:bCs/>
            <w:color w:val="auto"/>
            <w:sz w:val="20"/>
            <w:szCs w:val="20"/>
          </w:rPr>
          <w:t>https://doi.org/10.1111/anae.14239</w:t>
        </w:r>
      </w:hyperlink>
    </w:p>
    <w:p w14:paraId="0147180E" w14:textId="77777777" w:rsidR="00D755E9" w:rsidRPr="00784C4F" w:rsidRDefault="00D755E9" w:rsidP="00D755E9">
      <w:pPr>
        <w:numPr>
          <w:ilvl w:val="0"/>
          <w:numId w:val="1"/>
        </w:numPr>
        <w:spacing w:after="0" w:line="240" w:lineRule="auto"/>
        <w:ind w:left="360"/>
        <w:jc w:val="both"/>
        <w:textAlignment w:val="top"/>
        <w:rPr>
          <w:rFonts w:asciiTheme="majorBidi" w:hAnsiTheme="majorBidi" w:cstheme="majorBidi"/>
          <w:sz w:val="20"/>
          <w:szCs w:val="20"/>
        </w:rPr>
      </w:pPr>
      <w:r w:rsidRPr="00784C4F">
        <w:rPr>
          <w:rFonts w:asciiTheme="majorBidi" w:hAnsiTheme="majorBidi" w:cstheme="majorBidi"/>
          <w:sz w:val="20"/>
          <w:szCs w:val="20"/>
        </w:rPr>
        <w:t xml:space="preserve">Lloyd-Jones D, Adams R, </w:t>
      </w:r>
      <w:proofErr w:type="spellStart"/>
      <w:r w:rsidRPr="00784C4F">
        <w:rPr>
          <w:rFonts w:asciiTheme="majorBidi" w:hAnsiTheme="majorBidi" w:cstheme="majorBidi"/>
          <w:sz w:val="20"/>
          <w:szCs w:val="20"/>
        </w:rPr>
        <w:t>Carnethon</w:t>
      </w:r>
      <w:proofErr w:type="spellEnd"/>
      <w:r w:rsidRPr="00784C4F">
        <w:rPr>
          <w:rFonts w:asciiTheme="majorBidi" w:hAnsiTheme="majorBidi" w:cstheme="majorBidi"/>
          <w:sz w:val="20"/>
          <w:szCs w:val="20"/>
        </w:rPr>
        <w:t xml:space="preserve"> M, De Simone G, Ferguson TB, </w:t>
      </w:r>
      <w:proofErr w:type="spellStart"/>
      <w:r w:rsidRPr="00784C4F">
        <w:rPr>
          <w:rFonts w:asciiTheme="majorBidi" w:hAnsiTheme="majorBidi" w:cstheme="majorBidi"/>
          <w:sz w:val="20"/>
          <w:szCs w:val="20"/>
        </w:rPr>
        <w:t>Flegal</w:t>
      </w:r>
      <w:proofErr w:type="spellEnd"/>
      <w:r w:rsidRPr="00784C4F">
        <w:rPr>
          <w:rFonts w:asciiTheme="majorBidi" w:hAnsiTheme="majorBidi" w:cstheme="majorBidi"/>
          <w:sz w:val="20"/>
          <w:szCs w:val="20"/>
        </w:rPr>
        <w:t xml:space="preserve"> K, et al. Heart disease and stroke statistics--2009 update: A report from the American Heart Association Statistics Committee and Stroke Statistics Subcommittee Circulation 2009;119:480–6.</w:t>
      </w:r>
    </w:p>
    <w:p w14:paraId="1F727414" w14:textId="77777777" w:rsidR="00D755E9" w:rsidRPr="00784C4F" w:rsidRDefault="00D755E9" w:rsidP="00D755E9">
      <w:pPr>
        <w:numPr>
          <w:ilvl w:val="0"/>
          <w:numId w:val="1"/>
        </w:numPr>
        <w:spacing w:after="0" w:line="240" w:lineRule="auto"/>
        <w:ind w:left="360"/>
        <w:jc w:val="both"/>
        <w:textAlignment w:val="top"/>
        <w:rPr>
          <w:rFonts w:asciiTheme="majorBidi" w:hAnsiTheme="majorBidi" w:cstheme="majorBidi"/>
          <w:sz w:val="20"/>
          <w:szCs w:val="20"/>
        </w:rPr>
      </w:pPr>
      <w:proofErr w:type="spellStart"/>
      <w:r w:rsidRPr="00784C4F">
        <w:rPr>
          <w:rFonts w:asciiTheme="majorBidi" w:hAnsiTheme="majorBidi" w:cstheme="majorBidi"/>
          <w:sz w:val="20"/>
          <w:szCs w:val="20"/>
        </w:rPr>
        <w:t>Chobanian</w:t>
      </w:r>
      <w:proofErr w:type="spellEnd"/>
      <w:r w:rsidRPr="00784C4F">
        <w:rPr>
          <w:rFonts w:asciiTheme="majorBidi" w:hAnsiTheme="majorBidi" w:cstheme="majorBidi"/>
          <w:sz w:val="20"/>
          <w:szCs w:val="20"/>
        </w:rPr>
        <w:t xml:space="preserve"> AV, </w:t>
      </w:r>
      <w:proofErr w:type="spellStart"/>
      <w:r w:rsidRPr="00784C4F">
        <w:rPr>
          <w:rFonts w:asciiTheme="majorBidi" w:hAnsiTheme="majorBidi" w:cstheme="majorBidi"/>
          <w:sz w:val="20"/>
          <w:szCs w:val="20"/>
        </w:rPr>
        <w:t>Bakris</w:t>
      </w:r>
      <w:proofErr w:type="spellEnd"/>
      <w:r w:rsidRPr="00784C4F">
        <w:rPr>
          <w:rFonts w:asciiTheme="majorBidi" w:hAnsiTheme="majorBidi" w:cstheme="majorBidi"/>
          <w:sz w:val="20"/>
          <w:szCs w:val="20"/>
        </w:rPr>
        <w:t xml:space="preserve"> GL, Black HR, Cushman WC, Green LA, </w:t>
      </w:r>
      <w:proofErr w:type="spellStart"/>
      <w:r w:rsidRPr="00784C4F">
        <w:rPr>
          <w:rFonts w:asciiTheme="majorBidi" w:hAnsiTheme="majorBidi" w:cstheme="majorBidi"/>
          <w:sz w:val="20"/>
          <w:szCs w:val="20"/>
        </w:rPr>
        <w:t>Izzo</w:t>
      </w:r>
      <w:proofErr w:type="spellEnd"/>
      <w:r w:rsidRPr="00784C4F">
        <w:rPr>
          <w:rFonts w:asciiTheme="majorBidi" w:hAnsiTheme="majorBidi" w:cstheme="majorBidi"/>
          <w:sz w:val="20"/>
          <w:szCs w:val="20"/>
        </w:rPr>
        <w:t xml:space="preserve"> JL </w:t>
      </w:r>
      <w:proofErr w:type="spellStart"/>
      <w:r w:rsidRPr="00784C4F">
        <w:rPr>
          <w:rFonts w:asciiTheme="majorBidi" w:hAnsiTheme="majorBidi" w:cstheme="majorBidi"/>
          <w:sz w:val="20"/>
          <w:szCs w:val="20"/>
        </w:rPr>
        <w:t>Jr</w:t>
      </w:r>
      <w:proofErr w:type="spellEnd"/>
      <w:r w:rsidRPr="00784C4F">
        <w:rPr>
          <w:rFonts w:asciiTheme="majorBidi" w:hAnsiTheme="majorBidi" w:cstheme="majorBidi"/>
          <w:sz w:val="20"/>
          <w:szCs w:val="20"/>
        </w:rPr>
        <w:t>, et al The Seventh Report of the Joint National Committee on Prevention, Detection, Evaluation, and Treatment of High Blood Pressure: The JNC 7 report JAMA 2003;289:2560–72</w:t>
      </w:r>
    </w:p>
    <w:p w14:paraId="04DBF671" w14:textId="77777777" w:rsidR="00D755E9" w:rsidRPr="00784C4F" w:rsidRDefault="008B41DC" w:rsidP="00D755E9">
      <w:pPr>
        <w:numPr>
          <w:ilvl w:val="0"/>
          <w:numId w:val="1"/>
        </w:numPr>
        <w:shd w:val="clear" w:color="auto" w:fill="FFFFFF"/>
        <w:spacing w:after="0" w:line="240" w:lineRule="auto"/>
        <w:ind w:left="360"/>
        <w:jc w:val="both"/>
        <w:rPr>
          <w:rFonts w:asciiTheme="majorBidi" w:hAnsiTheme="majorBidi" w:cstheme="majorBidi"/>
          <w:sz w:val="20"/>
          <w:szCs w:val="20"/>
        </w:rPr>
      </w:pPr>
      <w:hyperlink r:id="rId19" w:history="1">
        <w:r w:rsidR="00D755E9" w:rsidRPr="00784C4F">
          <w:rPr>
            <w:rStyle w:val="Hyperlink"/>
            <w:rFonts w:asciiTheme="majorBidi" w:hAnsiTheme="majorBidi" w:cstheme="majorBidi"/>
            <w:color w:val="auto"/>
            <w:sz w:val="20"/>
            <w:szCs w:val="20"/>
          </w:rPr>
          <w:t xml:space="preserve">Wilbert S. </w:t>
        </w:r>
        <w:proofErr w:type="spellStart"/>
        <w:r w:rsidR="00D755E9" w:rsidRPr="00784C4F">
          <w:rPr>
            <w:rStyle w:val="Hyperlink"/>
            <w:rFonts w:asciiTheme="majorBidi" w:hAnsiTheme="majorBidi" w:cstheme="majorBidi"/>
            <w:color w:val="auto"/>
            <w:sz w:val="20"/>
            <w:szCs w:val="20"/>
          </w:rPr>
          <w:t>Aronow</w:t>
        </w:r>
        <w:proofErr w:type="spellEnd"/>
      </w:hyperlink>
      <w:r w:rsidR="00D755E9" w:rsidRPr="00784C4F">
        <w:rPr>
          <w:rFonts w:asciiTheme="majorBidi" w:hAnsiTheme="majorBidi" w:cstheme="majorBidi"/>
          <w:sz w:val="20"/>
          <w:szCs w:val="20"/>
        </w:rPr>
        <w:t xml:space="preserve"> ; </w:t>
      </w:r>
      <w:r w:rsidR="00D755E9" w:rsidRPr="00784C4F">
        <w:rPr>
          <w:rFonts w:asciiTheme="majorBidi" w:hAnsiTheme="majorBidi" w:cstheme="majorBidi"/>
          <w:spacing w:val="-2"/>
          <w:kern w:val="36"/>
          <w:sz w:val="20"/>
          <w:szCs w:val="20"/>
        </w:rPr>
        <w:t xml:space="preserve">Management of hypertension in patients undergoing surgery </w:t>
      </w:r>
      <w:r w:rsidR="00D755E9" w:rsidRPr="00784C4F">
        <w:rPr>
          <w:rFonts w:asciiTheme="majorBidi" w:hAnsiTheme="majorBidi" w:cstheme="majorBidi"/>
          <w:sz w:val="20"/>
          <w:szCs w:val="20"/>
        </w:rPr>
        <w:t>2017; 5(10): 227.</w:t>
      </w:r>
    </w:p>
    <w:p w14:paraId="0589FD7F" w14:textId="77777777" w:rsidR="00D755E9" w:rsidRPr="00784C4F" w:rsidRDefault="008B41DC" w:rsidP="00D755E9">
      <w:pPr>
        <w:numPr>
          <w:ilvl w:val="0"/>
          <w:numId w:val="1"/>
        </w:numPr>
        <w:shd w:val="clear" w:color="auto" w:fill="FFFFFF"/>
        <w:spacing w:after="0" w:line="240" w:lineRule="auto"/>
        <w:ind w:left="360"/>
        <w:jc w:val="both"/>
        <w:rPr>
          <w:rFonts w:asciiTheme="majorBidi" w:hAnsiTheme="majorBidi" w:cstheme="majorBidi"/>
          <w:sz w:val="20"/>
          <w:szCs w:val="20"/>
        </w:rPr>
      </w:pPr>
      <w:hyperlink r:id="rId20" w:history="1">
        <w:proofErr w:type="spellStart"/>
        <w:r w:rsidR="00D755E9" w:rsidRPr="00784C4F">
          <w:rPr>
            <w:rStyle w:val="Hyperlink"/>
            <w:rFonts w:asciiTheme="majorBidi" w:hAnsiTheme="majorBidi" w:cstheme="majorBidi"/>
            <w:color w:val="auto"/>
            <w:sz w:val="20"/>
            <w:szCs w:val="20"/>
          </w:rPr>
          <w:t>Mylona</w:t>
        </w:r>
        <w:proofErr w:type="spellEnd"/>
      </w:hyperlink>
      <w:r w:rsidR="00D755E9" w:rsidRPr="00784C4F">
        <w:rPr>
          <w:rStyle w:val="Hyperlink"/>
          <w:rFonts w:asciiTheme="majorBidi" w:hAnsiTheme="majorBidi" w:cstheme="majorBidi"/>
          <w:color w:val="auto"/>
          <w:sz w:val="20"/>
          <w:szCs w:val="20"/>
        </w:rPr>
        <w:t xml:space="preserve"> I</w:t>
      </w:r>
      <w:r w:rsidR="00D755E9" w:rsidRPr="00784C4F">
        <w:rPr>
          <w:rFonts w:asciiTheme="majorBidi" w:hAnsiTheme="majorBidi" w:cstheme="majorBidi"/>
          <w:sz w:val="20"/>
          <w:szCs w:val="20"/>
        </w:rPr>
        <w:t>, </w:t>
      </w:r>
      <w:proofErr w:type="spellStart"/>
      <w:r w:rsidR="007435EA">
        <w:fldChar w:fldCharType="begin"/>
      </w:r>
      <w:r w:rsidR="007435EA">
        <w:instrText xml:space="preserve"> HYPERLINK "https://www.ncbi.nlm.nih.gov/pubmed/?term=Dermenoudi%20M%5BAuthor%5D&amp;cauthor=true&amp;cauthor_uid=31382460" </w:instrText>
      </w:r>
      <w:r w:rsidR="007435EA">
        <w:fldChar w:fldCharType="separate"/>
      </w:r>
      <w:r w:rsidR="00D755E9" w:rsidRPr="00784C4F">
        <w:rPr>
          <w:rStyle w:val="Hyperlink"/>
          <w:rFonts w:asciiTheme="majorBidi" w:hAnsiTheme="majorBidi" w:cstheme="majorBidi"/>
          <w:color w:val="auto"/>
          <w:sz w:val="20"/>
          <w:szCs w:val="20"/>
        </w:rPr>
        <w:t>Dermenoudi</w:t>
      </w:r>
      <w:proofErr w:type="spellEnd"/>
      <w:r w:rsidR="007435EA">
        <w:rPr>
          <w:rStyle w:val="Hyperlink"/>
          <w:rFonts w:asciiTheme="majorBidi" w:hAnsiTheme="majorBidi" w:cstheme="majorBidi"/>
          <w:color w:val="auto"/>
          <w:sz w:val="20"/>
          <w:szCs w:val="20"/>
        </w:rPr>
        <w:fldChar w:fldCharType="end"/>
      </w:r>
      <w:r w:rsidR="00D755E9" w:rsidRPr="00784C4F">
        <w:rPr>
          <w:rStyle w:val="Hyperlink"/>
          <w:rFonts w:asciiTheme="majorBidi" w:hAnsiTheme="majorBidi" w:cstheme="majorBidi"/>
          <w:color w:val="auto"/>
          <w:sz w:val="20"/>
          <w:szCs w:val="20"/>
        </w:rPr>
        <w:t xml:space="preserve"> M</w:t>
      </w:r>
      <w:r w:rsidR="00D755E9" w:rsidRPr="00784C4F">
        <w:rPr>
          <w:rFonts w:asciiTheme="majorBidi" w:hAnsiTheme="majorBidi" w:cstheme="majorBidi"/>
          <w:sz w:val="20"/>
          <w:szCs w:val="20"/>
        </w:rPr>
        <w:t>, </w:t>
      </w:r>
      <w:proofErr w:type="spellStart"/>
      <w:r w:rsidR="007435EA">
        <w:fldChar w:fldCharType="begin"/>
      </w:r>
      <w:r w:rsidR="007435EA">
        <w:instrText xml:space="preserve"> HYPERLINK "https://www.ncbi.nlm.nih.gov/pubmed/?term=Ziakas%20N%5BAuthor%5D&amp;cauthor=true&amp;cauthor_uid=31382460" </w:instrText>
      </w:r>
      <w:r w:rsidR="007435EA">
        <w:fldChar w:fldCharType="separate"/>
      </w:r>
      <w:r w:rsidR="00D755E9" w:rsidRPr="00784C4F">
        <w:rPr>
          <w:rStyle w:val="Hyperlink"/>
          <w:rFonts w:asciiTheme="majorBidi" w:hAnsiTheme="majorBidi" w:cstheme="majorBidi"/>
          <w:color w:val="auto"/>
          <w:sz w:val="20"/>
          <w:szCs w:val="20"/>
        </w:rPr>
        <w:t>Ziakas</w:t>
      </w:r>
      <w:proofErr w:type="spellEnd"/>
      <w:r w:rsidR="007435EA">
        <w:rPr>
          <w:rStyle w:val="Hyperlink"/>
          <w:rFonts w:asciiTheme="majorBidi" w:hAnsiTheme="majorBidi" w:cstheme="majorBidi"/>
          <w:color w:val="auto"/>
          <w:sz w:val="20"/>
          <w:szCs w:val="20"/>
        </w:rPr>
        <w:fldChar w:fldCharType="end"/>
      </w:r>
      <w:r w:rsidR="00D755E9" w:rsidRPr="00784C4F">
        <w:rPr>
          <w:rFonts w:asciiTheme="majorBidi" w:hAnsiTheme="majorBidi" w:cstheme="majorBidi"/>
          <w:sz w:val="20"/>
          <w:szCs w:val="20"/>
        </w:rPr>
        <w:t xml:space="preserve"> N, </w:t>
      </w:r>
      <w:hyperlink r:id="rId21" w:history="1">
        <w:proofErr w:type="spellStart"/>
        <w:r w:rsidR="00D755E9" w:rsidRPr="00784C4F">
          <w:rPr>
            <w:rStyle w:val="Hyperlink"/>
            <w:rFonts w:asciiTheme="majorBidi" w:hAnsiTheme="majorBidi" w:cstheme="majorBidi"/>
            <w:color w:val="auto"/>
            <w:sz w:val="20"/>
            <w:szCs w:val="20"/>
          </w:rPr>
          <w:t>Tsinopoulos</w:t>
        </w:r>
        <w:proofErr w:type="spellEnd"/>
      </w:hyperlink>
      <w:r w:rsidR="00D755E9" w:rsidRPr="00784C4F">
        <w:rPr>
          <w:rFonts w:asciiTheme="majorBidi" w:hAnsiTheme="majorBidi" w:cstheme="majorBidi"/>
          <w:sz w:val="20"/>
          <w:szCs w:val="20"/>
        </w:rPr>
        <w:t xml:space="preserve"> I. </w:t>
      </w:r>
      <w:r w:rsidR="00D755E9" w:rsidRPr="00784C4F">
        <w:rPr>
          <w:rFonts w:asciiTheme="majorBidi" w:hAnsiTheme="majorBidi" w:cstheme="majorBidi"/>
          <w:bCs/>
          <w:kern w:val="36"/>
          <w:sz w:val="20"/>
          <w:szCs w:val="20"/>
        </w:rPr>
        <w:t xml:space="preserve">Hypertension is the Prominent Risk Factor in Cataract Patients: </w:t>
      </w:r>
      <w:r w:rsidR="00D755E9" w:rsidRPr="00784C4F">
        <w:rPr>
          <w:rFonts w:asciiTheme="majorBidi" w:hAnsiTheme="majorBidi" w:cstheme="majorBidi"/>
          <w:sz w:val="20"/>
          <w:szCs w:val="20"/>
        </w:rPr>
        <w:t xml:space="preserve"> </w:t>
      </w:r>
      <w:hyperlink r:id="rId22" w:history="1">
        <w:proofErr w:type="spellStart"/>
        <w:r w:rsidR="00D755E9" w:rsidRPr="00784C4F">
          <w:rPr>
            <w:rStyle w:val="Hyperlink"/>
            <w:rFonts w:asciiTheme="majorBidi" w:hAnsiTheme="majorBidi" w:cstheme="majorBidi"/>
            <w:color w:val="auto"/>
            <w:sz w:val="20"/>
            <w:szCs w:val="20"/>
          </w:rPr>
          <w:t>Medicina</w:t>
        </w:r>
        <w:proofErr w:type="spellEnd"/>
        <w:r w:rsidR="00D755E9" w:rsidRPr="00784C4F">
          <w:rPr>
            <w:rStyle w:val="Hyperlink"/>
            <w:rFonts w:asciiTheme="majorBidi" w:hAnsiTheme="majorBidi" w:cstheme="majorBidi"/>
            <w:color w:val="auto"/>
            <w:sz w:val="20"/>
            <w:szCs w:val="20"/>
          </w:rPr>
          <w:t xml:space="preserve"> (Kaunas)</w:t>
        </w:r>
      </w:hyperlink>
      <w:r w:rsidR="00D755E9" w:rsidRPr="00784C4F">
        <w:rPr>
          <w:rFonts w:asciiTheme="majorBidi" w:hAnsiTheme="majorBidi" w:cstheme="majorBidi"/>
          <w:sz w:val="20"/>
          <w:szCs w:val="20"/>
        </w:rPr>
        <w:t> 2019;55(8): 430.</w:t>
      </w:r>
    </w:p>
    <w:p w14:paraId="19CEA1F5" w14:textId="77777777" w:rsidR="00D755E9" w:rsidRPr="00784C4F" w:rsidRDefault="00D755E9" w:rsidP="00D755E9">
      <w:pPr>
        <w:numPr>
          <w:ilvl w:val="0"/>
          <w:numId w:val="1"/>
        </w:numPr>
        <w:spacing w:after="0" w:line="240" w:lineRule="auto"/>
        <w:ind w:left="360"/>
        <w:jc w:val="both"/>
        <w:textAlignment w:val="top"/>
        <w:outlineLvl w:val="0"/>
        <w:rPr>
          <w:rFonts w:asciiTheme="majorBidi" w:hAnsiTheme="majorBidi" w:cstheme="majorBidi"/>
          <w:sz w:val="20"/>
          <w:szCs w:val="20"/>
        </w:rPr>
      </w:pPr>
      <w:r w:rsidRPr="00784C4F">
        <w:rPr>
          <w:rFonts w:asciiTheme="majorBidi" w:hAnsiTheme="majorBidi" w:cstheme="majorBidi"/>
          <w:bCs/>
          <w:kern w:val="36"/>
          <w:sz w:val="20"/>
          <w:szCs w:val="20"/>
        </w:rPr>
        <w:t xml:space="preserve">Hypertension, </w:t>
      </w:r>
      <w:r w:rsidRPr="00784C4F">
        <w:rPr>
          <w:rFonts w:asciiTheme="majorBidi" w:hAnsiTheme="majorBidi" w:cstheme="majorBidi"/>
          <w:bCs/>
          <w:sz w:val="20"/>
          <w:szCs w:val="20"/>
        </w:rPr>
        <w:t xml:space="preserve">the Clinical Management of Primary Hypertension in Adults. Update of Clinical Guidelines 18 and 34. </w:t>
      </w:r>
      <w:r w:rsidRPr="00784C4F">
        <w:rPr>
          <w:rFonts w:asciiTheme="majorBidi" w:hAnsiTheme="majorBidi" w:cstheme="majorBidi"/>
          <w:sz w:val="20"/>
          <w:szCs w:val="20"/>
        </w:rPr>
        <w:t xml:space="preserve">NICE Clinical Guidelines, No. 127. </w:t>
      </w:r>
    </w:p>
    <w:p w14:paraId="2727E14D" w14:textId="77777777" w:rsidR="00D755E9" w:rsidRPr="00784C4F" w:rsidRDefault="00D755E9" w:rsidP="00D755E9">
      <w:pPr>
        <w:numPr>
          <w:ilvl w:val="0"/>
          <w:numId w:val="1"/>
        </w:numPr>
        <w:spacing w:after="0" w:line="240" w:lineRule="auto"/>
        <w:ind w:left="360"/>
        <w:jc w:val="both"/>
        <w:textAlignment w:val="top"/>
        <w:rPr>
          <w:rFonts w:asciiTheme="majorBidi" w:hAnsiTheme="majorBidi" w:cstheme="majorBidi"/>
          <w:sz w:val="20"/>
          <w:szCs w:val="20"/>
        </w:rPr>
      </w:pPr>
      <w:r w:rsidRPr="00784C4F">
        <w:rPr>
          <w:rFonts w:asciiTheme="majorBidi" w:hAnsiTheme="majorBidi" w:cstheme="majorBidi"/>
          <w:sz w:val="20"/>
          <w:szCs w:val="20"/>
        </w:rPr>
        <w:t>NICE Clinical Guidelines, No. 127. National Clinical Guideline Centre (UK).London: </w:t>
      </w:r>
      <w:hyperlink r:id="rId23" w:history="1">
        <w:r w:rsidRPr="00784C4F">
          <w:rPr>
            <w:rStyle w:val="Hyperlink"/>
            <w:rFonts w:asciiTheme="majorBidi" w:hAnsiTheme="majorBidi" w:cstheme="majorBidi"/>
            <w:color w:val="auto"/>
            <w:sz w:val="20"/>
            <w:szCs w:val="20"/>
          </w:rPr>
          <w:t>Royal College of Physicians (UK)</w:t>
        </w:r>
      </w:hyperlink>
      <w:r w:rsidRPr="00784C4F">
        <w:rPr>
          <w:rFonts w:asciiTheme="majorBidi" w:hAnsiTheme="majorBidi" w:cstheme="majorBidi"/>
          <w:sz w:val="20"/>
          <w:szCs w:val="20"/>
        </w:rPr>
        <w:t>; 2019 Aug. Bookshelf ID: NBK83274PMID: </w:t>
      </w:r>
      <w:hyperlink r:id="rId24" w:tooltip="PubMed record of this title" w:history="1">
        <w:r w:rsidRPr="00784C4F">
          <w:rPr>
            <w:rStyle w:val="Hyperlink"/>
            <w:rFonts w:asciiTheme="majorBidi" w:hAnsiTheme="majorBidi" w:cstheme="majorBidi"/>
            <w:color w:val="auto"/>
            <w:sz w:val="20"/>
            <w:szCs w:val="20"/>
          </w:rPr>
          <w:t>22855971</w:t>
        </w:r>
      </w:hyperlink>
    </w:p>
    <w:p w14:paraId="3FFB0606" w14:textId="77777777" w:rsidR="00D755E9" w:rsidRPr="00784C4F" w:rsidRDefault="008B41DC" w:rsidP="00D755E9">
      <w:pPr>
        <w:numPr>
          <w:ilvl w:val="0"/>
          <w:numId w:val="1"/>
        </w:numPr>
        <w:spacing w:after="0" w:line="240" w:lineRule="auto"/>
        <w:ind w:left="360"/>
        <w:jc w:val="both"/>
        <w:rPr>
          <w:rFonts w:asciiTheme="majorBidi" w:hAnsiTheme="majorBidi" w:cstheme="majorBidi"/>
          <w:sz w:val="20"/>
          <w:szCs w:val="20"/>
        </w:rPr>
      </w:pPr>
      <w:hyperlink r:id="rId25" w:history="1">
        <w:r w:rsidR="00D755E9" w:rsidRPr="00784C4F">
          <w:rPr>
            <w:rStyle w:val="Hyperlink"/>
            <w:rFonts w:asciiTheme="majorBidi" w:hAnsiTheme="majorBidi" w:cstheme="majorBidi"/>
            <w:color w:val="auto"/>
            <w:sz w:val="20"/>
            <w:szCs w:val="20"/>
          </w:rPr>
          <w:t>Gianfranco Parati,</w:t>
        </w:r>
      </w:hyperlink>
      <w:r w:rsidR="00D755E9" w:rsidRPr="00784C4F">
        <w:rPr>
          <w:rFonts w:asciiTheme="majorBidi" w:hAnsiTheme="majorBidi" w:cstheme="majorBidi"/>
          <w:sz w:val="20"/>
          <w:szCs w:val="20"/>
        </w:rPr>
        <w:t xml:space="preserve"> </w:t>
      </w:r>
      <w:hyperlink r:id="rId26" w:history="1">
        <w:r w:rsidR="00D755E9" w:rsidRPr="00784C4F">
          <w:rPr>
            <w:rStyle w:val="Hyperlink"/>
            <w:rFonts w:asciiTheme="majorBidi" w:hAnsiTheme="majorBidi" w:cstheme="majorBidi"/>
            <w:color w:val="auto"/>
            <w:sz w:val="20"/>
            <w:szCs w:val="20"/>
          </w:rPr>
          <w:t>George S. Stergiou,</w:t>
        </w:r>
      </w:hyperlink>
      <w:r w:rsidR="00D755E9" w:rsidRPr="00784C4F">
        <w:rPr>
          <w:rFonts w:asciiTheme="majorBidi" w:hAnsiTheme="majorBidi" w:cstheme="majorBidi"/>
          <w:sz w:val="20"/>
          <w:szCs w:val="20"/>
        </w:rPr>
        <w:t xml:space="preserve"> </w:t>
      </w:r>
      <w:hyperlink r:id="rId27" w:history="1">
        <w:r w:rsidR="00D755E9" w:rsidRPr="00784C4F">
          <w:rPr>
            <w:rStyle w:val="Hyperlink"/>
            <w:rFonts w:asciiTheme="majorBidi" w:hAnsiTheme="majorBidi" w:cstheme="majorBidi"/>
            <w:color w:val="auto"/>
            <w:sz w:val="20"/>
            <w:szCs w:val="20"/>
          </w:rPr>
          <w:t>Eamon Dolan,</w:t>
        </w:r>
      </w:hyperlink>
      <w:r w:rsidR="00D755E9" w:rsidRPr="00784C4F">
        <w:rPr>
          <w:rFonts w:asciiTheme="majorBidi" w:hAnsiTheme="majorBidi" w:cstheme="majorBidi"/>
          <w:sz w:val="20"/>
          <w:szCs w:val="20"/>
        </w:rPr>
        <w:t xml:space="preserve"> </w:t>
      </w:r>
      <w:hyperlink r:id="rId28" w:history="1">
        <w:r w:rsidR="00D755E9" w:rsidRPr="00784C4F">
          <w:rPr>
            <w:rStyle w:val="Hyperlink"/>
            <w:rFonts w:asciiTheme="majorBidi" w:hAnsiTheme="majorBidi" w:cstheme="majorBidi"/>
            <w:color w:val="auto"/>
            <w:sz w:val="20"/>
            <w:szCs w:val="20"/>
          </w:rPr>
          <w:t>Grzegorz Bilo</w:t>
        </w:r>
      </w:hyperlink>
      <w:r w:rsidR="00D755E9" w:rsidRPr="00784C4F">
        <w:rPr>
          <w:rFonts w:asciiTheme="majorBidi" w:hAnsiTheme="majorBidi" w:cstheme="majorBidi"/>
          <w:sz w:val="20"/>
          <w:szCs w:val="20"/>
        </w:rPr>
        <w:t xml:space="preserve">: </w:t>
      </w:r>
      <w:r w:rsidR="00D755E9" w:rsidRPr="00784C4F">
        <w:rPr>
          <w:rFonts w:asciiTheme="majorBidi" w:hAnsiTheme="majorBidi" w:cstheme="majorBidi"/>
          <w:bCs/>
          <w:kern w:val="36"/>
          <w:sz w:val="20"/>
          <w:szCs w:val="20"/>
        </w:rPr>
        <w:t xml:space="preserve">Blood pressure variability: </w:t>
      </w:r>
      <w:r w:rsidR="00D755E9" w:rsidRPr="00784C4F">
        <w:rPr>
          <w:rFonts w:asciiTheme="majorBidi" w:hAnsiTheme="majorBidi" w:cstheme="majorBidi"/>
          <w:bCs/>
          <w:kern w:val="36"/>
          <w:sz w:val="20"/>
          <w:szCs w:val="20"/>
        </w:rPr>
        <w:lastRenderedPageBreak/>
        <w:t>clinical r</w:t>
      </w:r>
      <w:r w:rsidR="00D755E9" w:rsidRPr="002F7794">
        <w:rPr>
          <w:rFonts w:asciiTheme="majorBidi" w:hAnsiTheme="majorBidi" w:cstheme="majorBidi"/>
          <w:bCs/>
          <w:kern w:val="36"/>
          <w:sz w:val="20"/>
          <w:szCs w:val="20"/>
        </w:rPr>
        <w:t xml:space="preserve">elevance and application. </w:t>
      </w:r>
      <w:hyperlink r:id="rId29" w:history="1">
        <w:r w:rsidR="00D755E9" w:rsidRPr="002F7794">
          <w:rPr>
            <w:rStyle w:val="Hyperlink"/>
            <w:rFonts w:asciiTheme="majorBidi" w:hAnsiTheme="majorBidi" w:cstheme="majorBidi"/>
            <w:bCs/>
            <w:color w:val="auto"/>
            <w:sz w:val="20"/>
            <w:szCs w:val="20"/>
            <w:u w:val="none"/>
          </w:rPr>
          <w:t>https://doi.org/10.1111/jch.13304</w:t>
        </w:r>
      </w:hyperlink>
    </w:p>
    <w:p w14:paraId="1C22FB79" w14:textId="77777777" w:rsidR="00D755E9" w:rsidRPr="00784C4F" w:rsidRDefault="00D755E9" w:rsidP="00D755E9">
      <w:pPr>
        <w:numPr>
          <w:ilvl w:val="0"/>
          <w:numId w:val="1"/>
        </w:numPr>
        <w:spacing w:after="0" w:line="240" w:lineRule="auto"/>
        <w:ind w:left="360"/>
        <w:jc w:val="both"/>
        <w:textAlignment w:val="baseline"/>
        <w:rPr>
          <w:rFonts w:asciiTheme="majorBidi" w:hAnsiTheme="majorBidi" w:cstheme="majorBidi"/>
          <w:sz w:val="20"/>
          <w:szCs w:val="20"/>
        </w:rPr>
      </w:pPr>
      <w:proofErr w:type="spellStart"/>
      <w:r w:rsidRPr="00784C4F">
        <w:rPr>
          <w:rFonts w:asciiTheme="majorBidi" w:hAnsiTheme="majorBidi" w:cstheme="majorBidi"/>
          <w:sz w:val="20"/>
          <w:szCs w:val="20"/>
        </w:rPr>
        <w:t>Mancia</w:t>
      </w:r>
      <w:proofErr w:type="spellEnd"/>
      <w:r w:rsidRPr="00784C4F">
        <w:rPr>
          <w:rFonts w:asciiTheme="majorBidi" w:hAnsiTheme="majorBidi" w:cstheme="majorBidi"/>
          <w:sz w:val="20"/>
          <w:szCs w:val="20"/>
        </w:rPr>
        <w:t xml:space="preserve"> G, </w:t>
      </w:r>
      <w:proofErr w:type="spellStart"/>
      <w:r w:rsidRPr="00784C4F">
        <w:rPr>
          <w:rFonts w:asciiTheme="majorBidi" w:hAnsiTheme="majorBidi" w:cstheme="majorBidi"/>
          <w:sz w:val="20"/>
          <w:szCs w:val="20"/>
        </w:rPr>
        <w:t>Parati</w:t>
      </w:r>
      <w:proofErr w:type="spellEnd"/>
      <w:r w:rsidRPr="00784C4F">
        <w:rPr>
          <w:rFonts w:asciiTheme="majorBidi" w:hAnsiTheme="majorBidi" w:cstheme="majorBidi"/>
          <w:sz w:val="20"/>
          <w:szCs w:val="20"/>
        </w:rPr>
        <w:t xml:space="preserve"> G. Ambulatory blood pressure monitoring and organ damage. Hypertension 2000</w:t>
      </w:r>
      <w:proofErr w:type="gramStart"/>
      <w:r w:rsidRPr="00784C4F">
        <w:rPr>
          <w:rFonts w:asciiTheme="majorBidi" w:hAnsiTheme="majorBidi" w:cstheme="majorBidi"/>
          <w:sz w:val="20"/>
          <w:szCs w:val="20"/>
        </w:rPr>
        <w:t>;36:394</w:t>
      </w:r>
      <w:proofErr w:type="gramEnd"/>
      <w:r w:rsidRPr="00784C4F">
        <w:rPr>
          <w:rFonts w:asciiTheme="majorBidi" w:hAnsiTheme="majorBidi" w:cstheme="majorBidi"/>
          <w:sz w:val="20"/>
          <w:szCs w:val="20"/>
        </w:rPr>
        <w:t>-399</w:t>
      </w:r>
      <w:bookmarkStart w:id="0" w:name="_GoBack"/>
      <w:bookmarkEnd w:id="0"/>
      <w:r w:rsidRPr="00784C4F">
        <w:rPr>
          <w:rFonts w:asciiTheme="majorBidi" w:hAnsiTheme="majorBidi" w:cstheme="majorBidi"/>
          <w:sz w:val="20"/>
          <w:szCs w:val="20"/>
        </w:rPr>
        <w:t>.</w:t>
      </w:r>
    </w:p>
    <w:p w14:paraId="05160051" w14:textId="77777777" w:rsidR="00D755E9" w:rsidRPr="00784C4F" w:rsidRDefault="00D755E9" w:rsidP="00D755E9">
      <w:pPr>
        <w:numPr>
          <w:ilvl w:val="0"/>
          <w:numId w:val="1"/>
        </w:numPr>
        <w:spacing w:after="0" w:line="240" w:lineRule="auto"/>
        <w:ind w:left="360"/>
        <w:jc w:val="both"/>
        <w:textAlignment w:val="baseline"/>
        <w:rPr>
          <w:rFonts w:asciiTheme="majorBidi" w:hAnsiTheme="majorBidi" w:cstheme="majorBidi"/>
          <w:sz w:val="20"/>
          <w:szCs w:val="20"/>
        </w:rPr>
      </w:pPr>
      <w:r w:rsidRPr="00784C4F">
        <w:rPr>
          <w:rFonts w:asciiTheme="majorBidi" w:hAnsiTheme="majorBidi" w:cstheme="majorBidi"/>
          <w:sz w:val="20"/>
          <w:szCs w:val="20"/>
        </w:rPr>
        <w:t xml:space="preserve">Trudeau L. Central blood pressure as an index of antihypertensive control: determinants and potential value. Can J </w:t>
      </w:r>
      <w:proofErr w:type="spellStart"/>
      <w:r w:rsidRPr="00784C4F">
        <w:rPr>
          <w:rFonts w:asciiTheme="majorBidi" w:hAnsiTheme="majorBidi" w:cstheme="majorBidi"/>
          <w:sz w:val="20"/>
          <w:szCs w:val="20"/>
        </w:rPr>
        <w:t>Cardiol</w:t>
      </w:r>
      <w:proofErr w:type="spellEnd"/>
      <w:r w:rsidRPr="00784C4F">
        <w:rPr>
          <w:rFonts w:asciiTheme="majorBidi" w:hAnsiTheme="majorBidi" w:cstheme="majorBidi"/>
          <w:sz w:val="20"/>
          <w:szCs w:val="20"/>
        </w:rPr>
        <w:t xml:space="preserve"> 2014;(30):23-28</w:t>
      </w:r>
    </w:p>
    <w:p w14:paraId="3816CF1C" w14:textId="77777777" w:rsidR="00D755E9" w:rsidRPr="00784C4F" w:rsidRDefault="00D755E9" w:rsidP="00D755E9">
      <w:pPr>
        <w:numPr>
          <w:ilvl w:val="0"/>
          <w:numId w:val="1"/>
        </w:numPr>
        <w:spacing w:after="0" w:line="240" w:lineRule="auto"/>
        <w:ind w:left="360"/>
        <w:jc w:val="both"/>
        <w:textAlignment w:val="baseline"/>
        <w:rPr>
          <w:rFonts w:asciiTheme="majorBidi" w:hAnsiTheme="majorBidi" w:cstheme="majorBidi"/>
          <w:sz w:val="20"/>
          <w:szCs w:val="20"/>
        </w:rPr>
      </w:pPr>
      <w:r w:rsidRPr="00784C4F">
        <w:rPr>
          <w:rFonts w:asciiTheme="majorBidi" w:hAnsiTheme="majorBidi" w:cstheme="majorBidi"/>
          <w:sz w:val="20"/>
          <w:szCs w:val="20"/>
          <w:bdr w:val="none" w:sz="0" w:space="0" w:color="auto" w:frame="1"/>
        </w:rPr>
        <w:t>Leblanc MÈ</w:t>
      </w:r>
      <w:r w:rsidRPr="00784C4F">
        <w:rPr>
          <w:rFonts w:asciiTheme="majorBidi" w:hAnsiTheme="majorBidi" w:cstheme="majorBidi"/>
          <w:sz w:val="20"/>
          <w:szCs w:val="20"/>
        </w:rPr>
        <w:t xml:space="preserve">, </w:t>
      </w:r>
      <w:proofErr w:type="spellStart"/>
      <w:r w:rsidRPr="00784C4F">
        <w:rPr>
          <w:rFonts w:asciiTheme="majorBidi" w:hAnsiTheme="majorBidi" w:cstheme="majorBidi"/>
          <w:sz w:val="20"/>
          <w:szCs w:val="20"/>
          <w:bdr w:val="none" w:sz="0" w:space="0" w:color="auto" w:frame="1"/>
        </w:rPr>
        <w:t>Auclair</w:t>
      </w:r>
      <w:proofErr w:type="spellEnd"/>
      <w:r w:rsidRPr="00784C4F">
        <w:rPr>
          <w:rFonts w:asciiTheme="majorBidi" w:hAnsiTheme="majorBidi" w:cstheme="majorBidi"/>
          <w:sz w:val="20"/>
          <w:szCs w:val="20"/>
          <w:bdr w:val="none" w:sz="0" w:space="0" w:color="auto" w:frame="1"/>
        </w:rPr>
        <w:t xml:space="preserve"> A</w:t>
      </w:r>
      <w:r w:rsidRPr="00784C4F">
        <w:rPr>
          <w:rFonts w:asciiTheme="majorBidi" w:hAnsiTheme="majorBidi" w:cstheme="majorBidi"/>
          <w:sz w:val="20"/>
          <w:szCs w:val="20"/>
        </w:rPr>
        <w:t xml:space="preserve">, </w:t>
      </w:r>
      <w:r w:rsidRPr="00784C4F">
        <w:rPr>
          <w:rFonts w:asciiTheme="majorBidi" w:hAnsiTheme="majorBidi" w:cstheme="majorBidi"/>
          <w:sz w:val="20"/>
          <w:szCs w:val="20"/>
          <w:bdr w:val="none" w:sz="0" w:space="0" w:color="auto" w:frame="1"/>
        </w:rPr>
        <w:t>Leclerc J</w:t>
      </w:r>
      <w:r w:rsidRPr="00784C4F">
        <w:rPr>
          <w:rFonts w:asciiTheme="majorBidi" w:hAnsiTheme="majorBidi" w:cstheme="majorBidi"/>
          <w:sz w:val="20"/>
          <w:szCs w:val="20"/>
        </w:rPr>
        <w:t xml:space="preserve">, </w:t>
      </w:r>
      <w:proofErr w:type="spellStart"/>
      <w:r w:rsidRPr="00784C4F">
        <w:rPr>
          <w:rFonts w:asciiTheme="majorBidi" w:hAnsiTheme="majorBidi" w:cstheme="majorBidi"/>
          <w:sz w:val="20"/>
          <w:szCs w:val="20"/>
          <w:bdr w:val="none" w:sz="0" w:space="0" w:color="auto" w:frame="1"/>
        </w:rPr>
        <w:t>Bussières</w:t>
      </w:r>
      <w:proofErr w:type="spellEnd"/>
      <w:r w:rsidRPr="00784C4F">
        <w:rPr>
          <w:rFonts w:asciiTheme="majorBidi" w:hAnsiTheme="majorBidi" w:cstheme="majorBidi"/>
          <w:sz w:val="20"/>
          <w:szCs w:val="20"/>
          <w:bdr w:val="none" w:sz="0" w:space="0" w:color="auto" w:frame="1"/>
        </w:rPr>
        <w:t xml:space="preserve"> J</w:t>
      </w:r>
      <w:r w:rsidRPr="00784C4F">
        <w:rPr>
          <w:rFonts w:asciiTheme="majorBidi" w:hAnsiTheme="majorBidi" w:cstheme="majorBidi"/>
          <w:sz w:val="20"/>
          <w:szCs w:val="20"/>
        </w:rPr>
        <w:t xml:space="preserve">, </w:t>
      </w:r>
      <w:proofErr w:type="spellStart"/>
      <w:r w:rsidRPr="00784C4F">
        <w:rPr>
          <w:rFonts w:asciiTheme="majorBidi" w:hAnsiTheme="majorBidi" w:cstheme="majorBidi"/>
          <w:sz w:val="20"/>
          <w:szCs w:val="20"/>
          <w:bdr w:val="none" w:sz="0" w:space="0" w:color="auto" w:frame="1"/>
        </w:rPr>
        <w:t>Agharazii</w:t>
      </w:r>
      <w:proofErr w:type="spellEnd"/>
      <w:r w:rsidRPr="00784C4F">
        <w:rPr>
          <w:rFonts w:asciiTheme="majorBidi" w:hAnsiTheme="majorBidi" w:cstheme="majorBidi"/>
          <w:sz w:val="20"/>
          <w:szCs w:val="20"/>
          <w:bdr w:val="none" w:sz="0" w:space="0" w:color="auto" w:frame="1"/>
        </w:rPr>
        <w:t xml:space="preserve"> M</w:t>
      </w:r>
      <w:r w:rsidRPr="00784C4F">
        <w:rPr>
          <w:rFonts w:asciiTheme="majorBidi" w:hAnsiTheme="majorBidi" w:cstheme="majorBidi"/>
          <w:sz w:val="20"/>
          <w:szCs w:val="20"/>
        </w:rPr>
        <w:t>, </w:t>
      </w:r>
      <w:proofErr w:type="spellStart"/>
      <w:r w:rsidRPr="00784C4F">
        <w:rPr>
          <w:rFonts w:asciiTheme="majorBidi" w:hAnsiTheme="majorBidi" w:cstheme="majorBidi"/>
          <w:sz w:val="20"/>
          <w:szCs w:val="20"/>
          <w:bdr w:val="none" w:sz="0" w:space="0" w:color="auto" w:frame="1"/>
        </w:rPr>
        <w:t>Hould</w:t>
      </w:r>
      <w:proofErr w:type="spellEnd"/>
      <w:r w:rsidRPr="00784C4F">
        <w:rPr>
          <w:rFonts w:asciiTheme="majorBidi" w:hAnsiTheme="majorBidi" w:cstheme="majorBidi"/>
          <w:sz w:val="20"/>
          <w:szCs w:val="20"/>
          <w:bdr w:val="none" w:sz="0" w:space="0" w:color="auto" w:frame="1"/>
        </w:rPr>
        <w:t xml:space="preserve"> FS</w:t>
      </w:r>
      <w:r w:rsidRPr="00784C4F">
        <w:rPr>
          <w:rFonts w:asciiTheme="majorBidi" w:hAnsiTheme="majorBidi" w:cstheme="majorBidi"/>
          <w:sz w:val="20"/>
          <w:szCs w:val="20"/>
        </w:rPr>
        <w:t xml:space="preserve">, </w:t>
      </w:r>
      <w:r w:rsidRPr="00784C4F">
        <w:rPr>
          <w:rFonts w:asciiTheme="majorBidi" w:hAnsiTheme="majorBidi" w:cstheme="majorBidi"/>
          <w:sz w:val="20"/>
          <w:szCs w:val="20"/>
          <w:bdr w:val="none" w:sz="0" w:space="0" w:color="auto" w:frame="1"/>
        </w:rPr>
        <w:t xml:space="preserve">et al. </w:t>
      </w:r>
      <w:r w:rsidRPr="00784C4F">
        <w:rPr>
          <w:rFonts w:asciiTheme="majorBidi" w:hAnsiTheme="majorBidi" w:cstheme="majorBidi"/>
          <w:sz w:val="20"/>
          <w:szCs w:val="20"/>
        </w:rPr>
        <w:t xml:space="preserve">Blood pressure measurement in severely obese patients: Validation </w:t>
      </w:r>
      <w:r w:rsidRPr="00784C4F">
        <w:rPr>
          <w:rFonts w:asciiTheme="majorBidi" w:hAnsiTheme="majorBidi" w:cstheme="majorBidi"/>
          <w:sz w:val="20"/>
          <w:szCs w:val="20"/>
        </w:rPr>
        <w:lastRenderedPageBreak/>
        <w:t xml:space="preserve">of the forearm approach in different arm positions. Am J </w:t>
      </w:r>
      <w:proofErr w:type="spellStart"/>
      <w:r w:rsidRPr="00784C4F">
        <w:rPr>
          <w:rFonts w:asciiTheme="majorBidi" w:hAnsiTheme="majorBidi" w:cstheme="majorBidi"/>
          <w:sz w:val="20"/>
          <w:szCs w:val="20"/>
        </w:rPr>
        <w:t>Hypertens</w:t>
      </w:r>
      <w:proofErr w:type="spellEnd"/>
      <w:r w:rsidRPr="00784C4F">
        <w:rPr>
          <w:rFonts w:asciiTheme="majorBidi" w:hAnsiTheme="majorBidi" w:cstheme="majorBidi"/>
          <w:sz w:val="20"/>
          <w:szCs w:val="20"/>
        </w:rPr>
        <w:t xml:space="preserve"> 2019</w:t>
      </w:r>
      <w:proofErr w:type="gramStart"/>
      <w:r w:rsidRPr="00784C4F">
        <w:rPr>
          <w:rFonts w:asciiTheme="majorBidi" w:hAnsiTheme="majorBidi" w:cstheme="majorBidi"/>
          <w:sz w:val="20"/>
          <w:szCs w:val="20"/>
        </w:rPr>
        <w:t>;32:175</w:t>
      </w:r>
      <w:proofErr w:type="gramEnd"/>
      <w:r w:rsidRPr="00784C4F">
        <w:rPr>
          <w:rFonts w:asciiTheme="majorBidi" w:hAnsiTheme="majorBidi" w:cstheme="majorBidi"/>
          <w:sz w:val="20"/>
          <w:szCs w:val="20"/>
        </w:rPr>
        <w:t>–85.</w:t>
      </w:r>
    </w:p>
    <w:p w14:paraId="5E143B0A" w14:textId="7877FC69" w:rsidR="00D755E9" w:rsidRPr="00784C4F" w:rsidRDefault="00D755E9" w:rsidP="008D05DA">
      <w:pPr>
        <w:numPr>
          <w:ilvl w:val="0"/>
          <w:numId w:val="1"/>
        </w:numPr>
        <w:spacing w:after="0" w:line="240" w:lineRule="auto"/>
        <w:ind w:left="360"/>
        <w:jc w:val="both"/>
        <w:textAlignment w:val="baseline"/>
        <w:rPr>
          <w:rFonts w:asciiTheme="majorBidi" w:hAnsiTheme="majorBidi" w:cstheme="majorBidi"/>
          <w:sz w:val="20"/>
          <w:szCs w:val="20"/>
        </w:rPr>
      </w:pPr>
      <w:r w:rsidRPr="00784C4F">
        <w:rPr>
          <w:rFonts w:asciiTheme="majorBidi" w:hAnsiTheme="majorBidi" w:cstheme="majorBidi"/>
          <w:sz w:val="20"/>
          <w:szCs w:val="20"/>
        </w:rPr>
        <w:t xml:space="preserve">Lira, </w:t>
      </w:r>
      <w:proofErr w:type="spellStart"/>
      <w:r w:rsidRPr="00784C4F">
        <w:rPr>
          <w:rFonts w:asciiTheme="majorBidi" w:hAnsiTheme="majorBidi" w:cstheme="majorBidi"/>
          <w:sz w:val="20"/>
          <w:szCs w:val="20"/>
        </w:rPr>
        <w:t>Cavalcanti</w:t>
      </w:r>
      <w:proofErr w:type="spellEnd"/>
      <w:r w:rsidRPr="00784C4F">
        <w:rPr>
          <w:rFonts w:asciiTheme="majorBidi" w:hAnsiTheme="majorBidi" w:cstheme="majorBidi"/>
          <w:sz w:val="20"/>
          <w:szCs w:val="20"/>
        </w:rPr>
        <w:t xml:space="preserve"> RP, </w:t>
      </w:r>
      <w:proofErr w:type="spellStart"/>
      <w:r w:rsidRPr="00784C4F">
        <w:rPr>
          <w:rFonts w:asciiTheme="majorBidi" w:hAnsiTheme="majorBidi" w:cstheme="majorBidi"/>
          <w:sz w:val="20"/>
          <w:szCs w:val="20"/>
        </w:rPr>
        <w:t>Nascimento</w:t>
      </w:r>
      <w:proofErr w:type="spellEnd"/>
      <w:r w:rsidRPr="00784C4F">
        <w:rPr>
          <w:rFonts w:asciiTheme="majorBidi" w:hAnsiTheme="majorBidi" w:cstheme="majorBidi"/>
          <w:sz w:val="20"/>
          <w:szCs w:val="20"/>
        </w:rPr>
        <w:t xml:space="preserve">, </w:t>
      </w:r>
      <w:proofErr w:type="spellStart"/>
      <w:r w:rsidRPr="00784C4F">
        <w:rPr>
          <w:rFonts w:asciiTheme="majorBidi" w:hAnsiTheme="majorBidi" w:cstheme="majorBidi"/>
          <w:sz w:val="20"/>
          <w:szCs w:val="20"/>
        </w:rPr>
        <w:t>Abujamra</w:t>
      </w:r>
      <w:proofErr w:type="spellEnd"/>
      <w:r w:rsidRPr="00784C4F">
        <w:rPr>
          <w:rFonts w:asciiTheme="majorBidi" w:hAnsiTheme="majorBidi" w:cstheme="majorBidi"/>
          <w:sz w:val="20"/>
          <w:szCs w:val="20"/>
        </w:rPr>
        <w:t xml:space="preserve"> M, </w:t>
      </w:r>
      <w:proofErr w:type="spellStart"/>
      <w:r w:rsidRPr="00784C4F">
        <w:rPr>
          <w:rFonts w:asciiTheme="majorBidi" w:hAnsiTheme="majorBidi" w:cstheme="majorBidi"/>
          <w:sz w:val="20"/>
          <w:szCs w:val="20"/>
        </w:rPr>
        <w:t>Arieta</w:t>
      </w:r>
      <w:proofErr w:type="spellEnd"/>
      <w:r w:rsidRPr="00784C4F">
        <w:rPr>
          <w:rFonts w:asciiTheme="majorBidi" w:hAnsiTheme="majorBidi" w:cstheme="majorBidi"/>
          <w:sz w:val="20"/>
          <w:szCs w:val="20"/>
        </w:rPr>
        <w:t xml:space="preserve">, </w:t>
      </w:r>
      <w:proofErr w:type="spellStart"/>
      <w:r w:rsidRPr="00784C4F">
        <w:rPr>
          <w:rFonts w:asciiTheme="majorBidi" w:hAnsiTheme="majorBidi" w:cstheme="majorBidi"/>
          <w:sz w:val="20"/>
          <w:szCs w:val="20"/>
        </w:rPr>
        <w:t>Leite</w:t>
      </w:r>
      <w:proofErr w:type="spellEnd"/>
      <w:r w:rsidRPr="00784C4F">
        <w:rPr>
          <w:rFonts w:asciiTheme="majorBidi" w:hAnsiTheme="majorBidi" w:cstheme="majorBidi"/>
          <w:sz w:val="20"/>
          <w:szCs w:val="20"/>
        </w:rPr>
        <w:t xml:space="preserve"> CE,  et al. </w:t>
      </w:r>
      <w:r w:rsidRPr="008D05DA">
        <w:rPr>
          <w:rFonts w:asciiTheme="majorBidi" w:hAnsiTheme="majorBidi" w:cstheme="majorBidi"/>
          <w:sz w:val="20"/>
          <w:szCs w:val="20"/>
        </w:rPr>
        <w:t xml:space="preserve">Incidence of preoperative high blood pressure in cataract surgery among hypertensive and normotensive patients. </w:t>
      </w:r>
      <w:proofErr w:type="spellStart"/>
      <w:r w:rsidRPr="00784C4F">
        <w:rPr>
          <w:rFonts w:asciiTheme="majorBidi" w:hAnsiTheme="majorBidi" w:cstheme="majorBidi"/>
          <w:sz w:val="20"/>
          <w:szCs w:val="20"/>
        </w:rPr>
        <w:t>Ind</w:t>
      </w:r>
      <w:proofErr w:type="spellEnd"/>
      <w:r w:rsidRPr="00784C4F">
        <w:rPr>
          <w:rFonts w:asciiTheme="majorBidi" w:hAnsiTheme="majorBidi" w:cstheme="majorBidi"/>
          <w:sz w:val="20"/>
          <w:szCs w:val="20"/>
        </w:rPr>
        <w:t xml:space="preserve"> J </w:t>
      </w:r>
      <w:proofErr w:type="spellStart"/>
      <w:r w:rsidRPr="00784C4F">
        <w:rPr>
          <w:rFonts w:asciiTheme="majorBidi" w:hAnsiTheme="majorBidi" w:cstheme="majorBidi"/>
          <w:sz w:val="20"/>
          <w:szCs w:val="20"/>
        </w:rPr>
        <w:t>Ophthalmol</w:t>
      </w:r>
      <w:proofErr w:type="spellEnd"/>
      <w:r w:rsidR="007435EA">
        <w:fldChar w:fldCharType="begin"/>
      </w:r>
      <w:r w:rsidR="007435EA">
        <w:instrText xml:space="preserve"> HYPERLINK "https://journals.lww.com/ijo/toc/2010/58060" </w:instrText>
      </w:r>
      <w:r w:rsidR="007435EA">
        <w:fldChar w:fldCharType="separate"/>
      </w:r>
      <w:r w:rsidRPr="008D05DA">
        <w:rPr>
          <w:rFonts w:asciiTheme="majorBidi" w:hAnsiTheme="majorBidi" w:cstheme="majorBidi"/>
          <w:sz w:val="20"/>
          <w:szCs w:val="20"/>
        </w:rPr>
        <w:t>–2010;58(6): 493-495</w:t>
      </w:r>
      <w:r w:rsidR="007435EA">
        <w:rPr>
          <w:rFonts w:asciiTheme="majorBidi" w:hAnsiTheme="majorBidi" w:cstheme="majorBidi"/>
          <w:sz w:val="20"/>
          <w:szCs w:val="20"/>
        </w:rPr>
        <w:fldChar w:fldCharType="end"/>
      </w:r>
    </w:p>
    <w:p w14:paraId="55212AEA" w14:textId="5C100883" w:rsidR="00C313D4" w:rsidRPr="00EF6B19" w:rsidRDefault="00D755E9" w:rsidP="008D05DA">
      <w:pPr>
        <w:numPr>
          <w:ilvl w:val="0"/>
          <w:numId w:val="1"/>
        </w:numPr>
        <w:spacing w:after="0" w:line="240" w:lineRule="auto"/>
        <w:ind w:left="360"/>
        <w:jc w:val="both"/>
        <w:textAlignment w:val="baseline"/>
        <w:rPr>
          <w:rFonts w:ascii="Times New Roman" w:hAnsi="Times New Roman"/>
          <w:sz w:val="20"/>
          <w:szCs w:val="20"/>
        </w:rPr>
      </w:pPr>
      <w:proofErr w:type="spellStart"/>
      <w:r w:rsidRPr="00784C4F">
        <w:rPr>
          <w:rFonts w:asciiTheme="majorBidi" w:hAnsiTheme="majorBidi" w:cstheme="majorBidi"/>
          <w:sz w:val="20"/>
          <w:szCs w:val="20"/>
        </w:rPr>
        <w:t>Meng</w:t>
      </w:r>
      <w:proofErr w:type="spellEnd"/>
      <w:r w:rsidRPr="00784C4F">
        <w:rPr>
          <w:rFonts w:asciiTheme="majorBidi" w:hAnsiTheme="majorBidi" w:cstheme="majorBidi"/>
          <w:sz w:val="20"/>
          <w:szCs w:val="20"/>
        </w:rPr>
        <w:t xml:space="preserve"> L, Yu W, Wang T, Zhang L, </w:t>
      </w:r>
      <w:proofErr w:type="spellStart"/>
      <w:r w:rsidRPr="00784C4F">
        <w:rPr>
          <w:rFonts w:asciiTheme="majorBidi" w:hAnsiTheme="majorBidi" w:cstheme="majorBidi"/>
          <w:sz w:val="20"/>
          <w:szCs w:val="20"/>
        </w:rPr>
        <w:t>Heerdt</w:t>
      </w:r>
      <w:proofErr w:type="spellEnd"/>
      <w:r w:rsidRPr="00784C4F">
        <w:rPr>
          <w:rFonts w:asciiTheme="majorBidi" w:hAnsiTheme="majorBidi" w:cstheme="majorBidi"/>
          <w:sz w:val="20"/>
          <w:szCs w:val="20"/>
        </w:rPr>
        <w:t xml:space="preserve"> PM, Gelb AW. </w:t>
      </w:r>
      <w:r w:rsidRPr="008D05DA">
        <w:rPr>
          <w:rFonts w:asciiTheme="majorBidi" w:hAnsiTheme="majorBidi" w:cstheme="majorBidi"/>
          <w:sz w:val="20"/>
          <w:szCs w:val="20"/>
        </w:rPr>
        <w:t>Blood Pressure Targets in Perioperative Care. Provisional Considerations Based on a Comprehensive Literature Review. Hypertension 2018</w:t>
      </w:r>
      <w:proofErr w:type="gramStart"/>
      <w:r w:rsidRPr="008D05DA">
        <w:rPr>
          <w:rFonts w:asciiTheme="majorBidi" w:hAnsiTheme="majorBidi" w:cstheme="majorBidi"/>
          <w:sz w:val="20"/>
          <w:szCs w:val="20"/>
        </w:rPr>
        <w:t>;</w:t>
      </w:r>
      <w:r w:rsidRPr="00784C4F">
        <w:rPr>
          <w:rFonts w:asciiTheme="majorBidi" w:hAnsiTheme="majorBidi" w:cstheme="majorBidi"/>
          <w:sz w:val="20"/>
          <w:szCs w:val="20"/>
        </w:rPr>
        <w:t>72</w:t>
      </w:r>
      <w:proofErr w:type="gramEnd"/>
      <w:r w:rsidRPr="00784C4F">
        <w:rPr>
          <w:rFonts w:asciiTheme="majorBidi" w:hAnsiTheme="majorBidi" w:cstheme="majorBidi"/>
          <w:sz w:val="20"/>
          <w:szCs w:val="20"/>
        </w:rPr>
        <w:t>(4):806-817.</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BDE7D" w14:textId="77777777" w:rsidR="008B41DC" w:rsidRDefault="008B41DC" w:rsidP="00930624">
      <w:pPr>
        <w:spacing w:after="0" w:line="240" w:lineRule="auto"/>
      </w:pPr>
      <w:r>
        <w:separator/>
      </w:r>
    </w:p>
  </w:endnote>
  <w:endnote w:type="continuationSeparator" w:id="0">
    <w:p w14:paraId="39AED5F7" w14:textId="77777777" w:rsidR="008B41DC" w:rsidRDefault="008B41DC"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F7060" w14:textId="77777777" w:rsidR="008B41DC" w:rsidRDefault="008B41DC" w:rsidP="00930624">
      <w:pPr>
        <w:spacing w:after="0" w:line="240" w:lineRule="auto"/>
      </w:pPr>
      <w:r>
        <w:separator/>
      </w:r>
    </w:p>
  </w:footnote>
  <w:footnote w:type="continuationSeparator" w:id="0">
    <w:p w14:paraId="55FEC758" w14:textId="77777777" w:rsidR="008B41DC" w:rsidRDefault="008B41DC"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2F7794">
      <w:rPr>
        <w:rFonts w:ascii="Times New Roman" w:hAnsi="Times New Roman"/>
        <w:b/>
        <w:noProof/>
        <w:sz w:val="24"/>
        <w:szCs w:val="24"/>
        <w:u w:val="single"/>
      </w:rPr>
      <w:t>97</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340EB"/>
    <w:multiLevelType w:val="hybridMultilevel"/>
    <w:tmpl w:val="64547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3492"/>
    <w:rsid w:val="00016470"/>
    <w:rsid w:val="000166A6"/>
    <w:rsid w:val="00020160"/>
    <w:rsid w:val="0002200D"/>
    <w:rsid w:val="0002605A"/>
    <w:rsid w:val="000278EB"/>
    <w:rsid w:val="000374E9"/>
    <w:rsid w:val="0004202A"/>
    <w:rsid w:val="00042760"/>
    <w:rsid w:val="00045425"/>
    <w:rsid w:val="00057F97"/>
    <w:rsid w:val="00061E17"/>
    <w:rsid w:val="00062F7B"/>
    <w:rsid w:val="000702C0"/>
    <w:rsid w:val="00071FF6"/>
    <w:rsid w:val="00073E85"/>
    <w:rsid w:val="000815FD"/>
    <w:rsid w:val="00081BD3"/>
    <w:rsid w:val="0008744C"/>
    <w:rsid w:val="00090D86"/>
    <w:rsid w:val="00094928"/>
    <w:rsid w:val="00097C9C"/>
    <w:rsid w:val="000A0956"/>
    <w:rsid w:val="000A1731"/>
    <w:rsid w:val="000A1B6F"/>
    <w:rsid w:val="000A4EC1"/>
    <w:rsid w:val="000A65E6"/>
    <w:rsid w:val="000A70EC"/>
    <w:rsid w:val="000A7FF8"/>
    <w:rsid w:val="000B2D92"/>
    <w:rsid w:val="000C0C2B"/>
    <w:rsid w:val="000C0FD3"/>
    <w:rsid w:val="000C2395"/>
    <w:rsid w:val="000C2A81"/>
    <w:rsid w:val="000C2CCF"/>
    <w:rsid w:val="000C5F03"/>
    <w:rsid w:val="000C67DA"/>
    <w:rsid w:val="000D09E5"/>
    <w:rsid w:val="000D2426"/>
    <w:rsid w:val="000D2A6B"/>
    <w:rsid w:val="000D368E"/>
    <w:rsid w:val="000D71A3"/>
    <w:rsid w:val="000D760D"/>
    <w:rsid w:val="000E2D08"/>
    <w:rsid w:val="000E3800"/>
    <w:rsid w:val="000E4216"/>
    <w:rsid w:val="00100AF5"/>
    <w:rsid w:val="0010169D"/>
    <w:rsid w:val="0010223C"/>
    <w:rsid w:val="001055AA"/>
    <w:rsid w:val="00106E0A"/>
    <w:rsid w:val="00111817"/>
    <w:rsid w:val="00113186"/>
    <w:rsid w:val="001166B8"/>
    <w:rsid w:val="00124A91"/>
    <w:rsid w:val="00130693"/>
    <w:rsid w:val="00131C5F"/>
    <w:rsid w:val="0013218A"/>
    <w:rsid w:val="00140638"/>
    <w:rsid w:val="001439ED"/>
    <w:rsid w:val="001441FA"/>
    <w:rsid w:val="00144ADA"/>
    <w:rsid w:val="00145DA7"/>
    <w:rsid w:val="0014772A"/>
    <w:rsid w:val="001507B7"/>
    <w:rsid w:val="001630F5"/>
    <w:rsid w:val="0017128E"/>
    <w:rsid w:val="00171DE2"/>
    <w:rsid w:val="00191614"/>
    <w:rsid w:val="001A21F8"/>
    <w:rsid w:val="001A6770"/>
    <w:rsid w:val="001A6F8B"/>
    <w:rsid w:val="001B0CB7"/>
    <w:rsid w:val="001C45F5"/>
    <w:rsid w:val="001D0248"/>
    <w:rsid w:val="001D56FF"/>
    <w:rsid w:val="001E446E"/>
    <w:rsid w:val="001E76C4"/>
    <w:rsid w:val="00201169"/>
    <w:rsid w:val="00204ADF"/>
    <w:rsid w:val="00210D14"/>
    <w:rsid w:val="0021295A"/>
    <w:rsid w:val="00212E4F"/>
    <w:rsid w:val="002152C9"/>
    <w:rsid w:val="00216A92"/>
    <w:rsid w:val="00222D08"/>
    <w:rsid w:val="00224605"/>
    <w:rsid w:val="00231DBC"/>
    <w:rsid w:val="002349E5"/>
    <w:rsid w:val="002402BA"/>
    <w:rsid w:val="00241046"/>
    <w:rsid w:val="00242324"/>
    <w:rsid w:val="0024285F"/>
    <w:rsid w:val="00246186"/>
    <w:rsid w:val="002532CC"/>
    <w:rsid w:val="00254321"/>
    <w:rsid w:val="002556A6"/>
    <w:rsid w:val="002574DC"/>
    <w:rsid w:val="00257949"/>
    <w:rsid w:val="0027160B"/>
    <w:rsid w:val="0027162B"/>
    <w:rsid w:val="00275539"/>
    <w:rsid w:val="00277249"/>
    <w:rsid w:val="00286C59"/>
    <w:rsid w:val="0028749D"/>
    <w:rsid w:val="002901B7"/>
    <w:rsid w:val="002915E1"/>
    <w:rsid w:val="00297AAA"/>
    <w:rsid w:val="00297F52"/>
    <w:rsid w:val="002A3F4A"/>
    <w:rsid w:val="002A7490"/>
    <w:rsid w:val="002C06BA"/>
    <w:rsid w:val="002C0C52"/>
    <w:rsid w:val="002C2C48"/>
    <w:rsid w:val="002C3BEA"/>
    <w:rsid w:val="002D6F8C"/>
    <w:rsid w:val="002F7794"/>
    <w:rsid w:val="002F7BBA"/>
    <w:rsid w:val="0030421E"/>
    <w:rsid w:val="0030425F"/>
    <w:rsid w:val="003044F1"/>
    <w:rsid w:val="00306311"/>
    <w:rsid w:val="0031014E"/>
    <w:rsid w:val="003220F3"/>
    <w:rsid w:val="0032482C"/>
    <w:rsid w:val="00325428"/>
    <w:rsid w:val="003266E7"/>
    <w:rsid w:val="00331431"/>
    <w:rsid w:val="003327A6"/>
    <w:rsid w:val="00336052"/>
    <w:rsid w:val="00337854"/>
    <w:rsid w:val="00343BD4"/>
    <w:rsid w:val="00345797"/>
    <w:rsid w:val="00351FC9"/>
    <w:rsid w:val="003579C8"/>
    <w:rsid w:val="00364183"/>
    <w:rsid w:val="00364AC3"/>
    <w:rsid w:val="00374E04"/>
    <w:rsid w:val="0038300E"/>
    <w:rsid w:val="0038382E"/>
    <w:rsid w:val="00390EE4"/>
    <w:rsid w:val="00393162"/>
    <w:rsid w:val="003959D1"/>
    <w:rsid w:val="00395B65"/>
    <w:rsid w:val="003966C8"/>
    <w:rsid w:val="00396BCA"/>
    <w:rsid w:val="003A1125"/>
    <w:rsid w:val="003A5910"/>
    <w:rsid w:val="003B5DC7"/>
    <w:rsid w:val="003B7603"/>
    <w:rsid w:val="003C1CF9"/>
    <w:rsid w:val="003C2A25"/>
    <w:rsid w:val="003C3B7A"/>
    <w:rsid w:val="003D0CFC"/>
    <w:rsid w:val="003D2203"/>
    <w:rsid w:val="003D314C"/>
    <w:rsid w:val="003D621F"/>
    <w:rsid w:val="003D677F"/>
    <w:rsid w:val="003F0269"/>
    <w:rsid w:val="003F0F0D"/>
    <w:rsid w:val="003F4EF7"/>
    <w:rsid w:val="004143FB"/>
    <w:rsid w:val="00414986"/>
    <w:rsid w:val="00420EE2"/>
    <w:rsid w:val="00431E7A"/>
    <w:rsid w:val="00433BDB"/>
    <w:rsid w:val="00433DCD"/>
    <w:rsid w:val="004342F7"/>
    <w:rsid w:val="00434731"/>
    <w:rsid w:val="00435669"/>
    <w:rsid w:val="00442ADC"/>
    <w:rsid w:val="00443B8F"/>
    <w:rsid w:val="00446191"/>
    <w:rsid w:val="00460B7C"/>
    <w:rsid w:val="0047297B"/>
    <w:rsid w:val="00472D06"/>
    <w:rsid w:val="00473CC9"/>
    <w:rsid w:val="00474750"/>
    <w:rsid w:val="00475988"/>
    <w:rsid w:val="0048123B"/>
    <w:rsid w:val="004850E3"/>
    <w:rsid w:val="004857EB"/>
    <w:rsid w:val="00492D71"/>
    <w:rsid w:val="004A2170"/>
    <w:rsid w:val="004A4B09"/>
    <w:rsid w:val="004D6348"/>
    <w:rsid w:val="004E1259"/>
    <w:rsid w:val="004E490C"/>
    <w:rsid w:val="004E640F"/>
    <w:rsid w:val="004E6683"/>
    <w:rsid w:val="004F5564"/>
    <w:rsid w:val="005011E6"/>
    <w:rsid w:val="00503B2D"/>
    <w:rsid w:val="00503BA2"/>
    <w:rsid w:val="005056E2"/>
    <w:rsid w:val="005079E5"/>
    <w:rsid w:val="005115B0"/>
    <w:rsid w:val="0051667D"/>
    <w:rsid w:val="005207E9"/>
    <w:rsid w:val="00521CEF"/>
    <w:rsid w:val="00525276"/>
    <w:rsid w:val="00533363"/>
    <w:rsid w:val="005403DD"/>
    <w:rsid w:val="0054065A"/>
    <w:rsid w:val="00541985"/>
    <w:rsid w:val="00547D28"/>
    <w:rsid w:val="00564041"/>
    <w:rsid w:val="005648C4"/>
    <w:rsid w:val="005669FB"/>
    <w:rsid w:val="005804F6"/>
    <w:rsid w:val="00580DD4"/>
    <w:rsid w:val="00580FAE"/>
    <w:rsid w:val="00581964"/>
    <w:rsid w:val="00594A80"/>
    <w:rsid w:val="00596901"/>
    <w:rsid w:val="005A02AF"/>
    <w:rsid w:val="005A0C88"/>
    <w:rsid w:val="005A3035"/>
    <w:rsid w:val="005A3947"/>
    <w:rsid w:val="005B62FD"/>
    <w:rsid w:val="005B7851"/>
    <w:rsid w:val="005C59A0"/>
    <w:rsid w:val="005C61C8"/>
    <w:rsid w:val="005C632D"/>
    <w:rsid w:val="005C68F2"/>
    <w:rsid w:val="005D3F5F"/>
    <w:rsid w:val="005D6044"/>
    <w:rsid w:val="005D62EA"/>
    <w:rsid w:val="005E3375"/>
    <w:rsid w:val="005E3469"/>
    <w:rsid w:val="005E773A"/>
    <w:rsid w:val="005F0630"/>
    <w:rsid w:val="005F25E1"/>
    <w:rsid w:val="005F2AF9"/>
    <w:rsid w:val="005F341A"/>
    <w:rsid w:val="005F3AA6"/>
    <w:rsid w:val="005F5F67"/>
    <w:rsid w:val="005F7C79"/>
    <w:rsid w:val="006042E5"/>
    <w:rsid w:val="00614665"/>
    <w:rsid w:val="0061789A"/>
    <w:rsid w:val="00623C75"/>
    <w:rsid w:val="0062602F"/>
    <w:rsid w:val="00630663"/>
    <w:rsid w:val="006310BC"/>
    <w:rsid w:val="00631ECF"/>
    <w:rsid w:val="006326AC"/>
    <w:rsid w:val="0063548A"/>
    <w:rsid w:val="00635EBE"/>
    <w:rsid w:val="00642563"/>
    <w:rsid w:val="0064325C"/>
    <w:rsid w:val="00645AF9"/>
    <w:rsid w:val="00650ED4"/>
    <w:rsid w:val="006553E9"/>
    <w:rsid w:val="00657732"/>
    <w:rsid w:val="00675D35"/>
    <w:rsid w:val="00677DE0"/>
    <w:rsid w:val="00680D8B"/>
    <w:rsid w:val="006903D8"/>
    <w:rsid w:val="00690861"/>
    <w:rsid w:val="006A322C"/>
    <w:rsid w:val="006B2C16"/>
    <w:rsid w:val="006C56E1"/>
    <w:rsid w:val="006D57F2"/>
    <w:rsid w:val="006E18D1"/>
    <w:rsid w:val="006E2A8E"/>
    <w:rsid w:val="006E470D"/>
    <w:rsid w:val="006E585D"/>
    <w:rsid w:val="006E5FE2"/>
    <w:rsid w:val="006E5FE5"/>
    <w:rsid w:val="006E7792"/>
    <w:rsid w:val="006F5BEA"/>
    <w:rsid w:val="006F7530"/>
    <w:rsid w:val="00710AB9"/>
    <w:rsid w:val="00713614"/>
    <w:rsid w:val="007167E1"/>
    <w:rsid w:val="0071785E"/>
    <w:rsid w:val="00723BA0"/>
    <w:rsid w:val="00726DD1"/>
    <w:rsid w:val="0072738F"/>
    <w:rsid w:val="00734907"/>
    <w:rsid w:val="00737C5D"/>
    <w:rsid w:val="007435EA"/>
    <w:rsid w:val="00751B28"/>
    <w:rsid w:val="007528CB"/>
    <w:rsid w:val="00752BF6"/>
    <w:rsid w:val="00753245"/>
    <w:rsid w:val="007615A7"/>
    <w:rsid w:val="00764EB0"/>
    <w:rsid w:val="00765D71"/>
    <w:rsid w:val="007721EE"/>
    <w:rsid w:val="0077252A"/>
    <w:rsid w:val="00776DE9"/>
    <w:rsid w:val="007827AB"/>
    <w:rsid w:val="00784753"/>
    <w:rsid w:val="00784F42"/>
    <w:rsid w:val="0078605B"/>
    <w:rsid w:val="0079087D"/>
    <w:rsid w:val="007A33A6"/>
    <w:rsid w:val="007A7A88"/>
    <w:rsid w:val="007B4240"/>
    <w:rsid w:val="007B71D0"/>
    <w:rsid w:val="007B7591"/>
    <w:rsid w:val="007C11EF"/>
    <w:rsid w:val="007C4D38"/>
    <w:rsid w:val="007D452B"/>
    <w:rsid w:val="007D62E8"/>
    <w:rsid w:val="007D73BB"/>
    <w:rsid w:val="007E1228"/>
    <w:rsid w:val="007E66E4"/>
    <w:rsid w:val="007E75B2"/>
    <w:rsid w:val="007F7F88"/>
    <w:rsid w:val="00800873"/>
    <w:rsid w:val="00805362"/>
    <w:rsid w:val="00807126"/>
    <w:rsid w:val="00812E28"/>
    <w:rsid w:val="00814741"/>
    <w:rsid w:val="00822107"/>
    <w:rsid w:val="00822F10"/>
    <w:rsid w:val="008247E0"/>
    <w:rsid w:val="00825F32"/>
    <w:rsid w:val="00837748"/>
    <w:rsid w:val="00840150"/>
    <w:rsid w:val="0084319F"/>
    <w:rsid w:val="00847075"/>
    <w:rsid w:val="00861F3D"/>
    <w:rsid w:val="008626BD"/>
    <w:rsid w:val="00863012"/>
    <w:rsid w:val="008641FE"/>
    <w:rsid w:val="00865292"/>
    <w:rsid w:val="00865EFF"/>
    <w:rsid w:val="00866B34"/>
    <w:rsid w:val="00873BAA"/>
    <w:rsid w:val="008804BD"/>
    <w:rsid w:val="00881309"/>
    <w:rsid w:val="00887FDC"/>
    <w:rsid w:val="008905FE"/>
    <w:rsid w:val="00892BA0"/>
    <w:rsid w:val="00893495"/>
    <w:rsid w:val="008A624B"/>
    <w:rsid w:val="008A6DA9"/>
    <w:rsid w:val="008B0838"/>
    <w:rsid w:val="008B1A30"/>
    <w:rsid w:val="008B41DC"/>
    <w:rsid w:val="008B7A6B"/>
    <w:rsid w:val="008C4EB4"/>
    <w:rsid w:val="008C573D"/>
    <w:rsid w:val="008C6006"/>
    <w:rsid w:val="008C7E2F"/>
    <w:rsid w:val="008D05DA"/>
    <w:rsid w:val="008D23D0"/>
    <w:rsid w:val="008D2878"/>
    <w:rsid w:val="008E0828"/>
    <w:rsid w:val="008E1EFC"/>
    <w:rsid w:val="008F013F"/>
    <w:rsid w:val="008F12E9"/>
    <w:rsid w:val="008F20A2"/>
    <w:rsid w:val="008F3AF7"/>
    <w:rsid w:val="008F6D21"/>
    <w:rsid w:val="009051A7"/>
    <w:rsid w:val="00911BC9"/>
    <w:rsid w:val="00912589"/>
    <w:rsid w:val="00912B25"/>
    <w:rsid w:val="00915D47"/>
    <w:rsid w:val="009222C0"/>
    <w:rsid w:val="00922D87"/>
    <w:rsid w:val="00930624"/>
    <w:rsid w:val="00934A9D"/>
    <w:rsid w:val="0094104F"/>
    <w:rsid w:val="00944FCC"/>
    <w:rsid w:val="00955120"/>
    <w:rsid w:val="00956D14"/>
    <w:rsid w:val="009607DA"/>
    <w:rsid w:val="009633E3"/>
    <w:rsid w:val="0096403A"/>
    <w:rsid w:val="00972B71"/>
    <w:rsid w:val="0097362C"/>
    <w:rsid w:val="009765D7"/>
    <w:rsid w:val="0098705B"/>
    <w:rsid w:val="00995000"/>
    <w:rsid w:val="00996473"/>
    <w:rsid w:val="009B08B5"/>
    <w:rsid w:val="009B0E79"/>
    <w:rsid w:val="009B1EEE"/>
    <w:rsid w:val="009B3DC2"/>
    <w:rsid w:val="009C1C7C"/>
    <w:rsid w:val="009C1CAF"/>
    <w:rsid w:val="009C24A3"/>
    <w:rsid w:val="009C37B5"/>
    <w:rsid w:val="009C668F"/>
    <w:rsid w:val="009D3224"/>
    <w:rsid w:val="009D3D32"/>
    <w:rsid w:val="009E039B"/>
    <w:rsid w:val="009F490B"/>
    <w:rsid w:val="009F5EA9"/>
    <w:rsid w:val="00A01CA4"/>
    <w:rsid w:val="00A1206B"/>
    <w:rsid w:val="00A135C5"/>
    <w:rsid w:val="00A16FE7"/>
    <w:rsid w:val="00A17236"/>
    <w:rsid w:val="00A21EBF"/>
    <w:rsid w:val="00A25A4F"/>
    <w:rsid w:val="00A371F0"/>
    <w:rsid w:val="00A414B5"/>
    <w:rsid w:val="00A52BAC"/>
    <w:rsid w:val="00A533A7"/>
    <w:rsid w:val="00A55503"/>
    <w:rsid w:val="00A61F2B"/>
    <w:rsid w:val="00A63D88"/>
    <w:rsid w:val="00A70134"/>
    <w:rsid w:val="00A70DB7"/>
    <w:rsid w:val="00A75D25"/>
    <w:rsid w:val="00A75D74"/>
    <w:rsid w:val="00A8136D"/>
    <w:rsid w:val="00A9742B"/>
    <w:rsid w:val="00AA3DFA"/>
    <w:rsid w:val="00AA756A"/>
    <w:rsid w:val="00AB2875"/>
    <w:rsid w:val="00AB3628"/>
    <w:rsid w:val="00AB5ED6"/>
    <w:rsid w:val="00AB7AE6"/>
    <w:rsid w:val="00AC2E36"/>
    <w:rsid w:val="00AC50C1"/>
    <w:rsid w:val="00AD34B4"/>
    <w:rsid w:val="00AD6169"/>
    <w:rsid w:val="00AD6E7F"/>
    <w:rsid w:val="00AE2538"/>
    <w:rsid w:val="00B03578"/>
    <w:rsid w:val="00B05548"/>
    <w:rsid w:val="00B05F2B"/>
    <w:rsid w:val="00B13378"/>
    <w:rsid w:val="00B13A72"/>
    <w:rsid w:val="00B229D0"/>
    <w:rsid w:val="00B24A7D"/>
    <w:rsid w:val="00B24D17"/>
    <w:rsid w:val="00B341EF"/>
    <w:rsid w:val="00B352D8"/>
    <w:rsid w:val="00B3798A"/>
    <w:rsid w:val="00B44C0E"/>
    <w:rsid w:val="00B47C14"/>
    <w:rsid w:val="00B542BE"/>
    <w:rsid w:val="00B54541"/>
    <w:rsid w:val="00B54844"/>
    <w:rsid w:val="00B549E4"/>
    <w:rsid w:val="00B54D2F"/>
    <w:rsid w:val="00B62091"/>
    <w:rsid w:val="00B65F44"/>
    <w:rsid w:val="00B66369"/>
    <w:rsid w:val="00B722E3"/>
    <w:rsid w:val="00B74A65"/>
    <w:rsid w:val="00B86DC0"/>
    <w:rsid w:val="00B96BF4"/>
    <w:rsid w:val="00BA0AF7"/>
    <w:rsid w:val="00BA6E82"/>
    <w:rsid w:val="00BB00C4"/>
    <w:rsid w:val="00BB362E"/>
    <w:rsid w:val="00BB6217"/>
    <w:rsid w:val="00BC1CC2"/>
    <w:rsid w:val="00BC35D0"/>
    <w:rsid w:val="00BC7DC2"/>
    <w:rsid w:val="00BD1B5B"/>
    <w:rsid w:val="00BD6BF3"/>
    <w:rsid w:val="00BE4466"/>
    <w:rsid w:val="00BF2238"/>
    <w:rsid w:val="00BF25F9"/>
    <w:rsid w:val="00BF2FFA"/>
    <w:rsid w:val="00BF732C"/>
    <w:rsid w:val="00C0072D"/>
    <w:rsid w:val="00C00910"/>
    <w:rsid w:val="00C0502A"/>
    <w:rsid w:val="00C11AFA"/>
    <w:rsid w:val="00C176BB"/>
    <w:rsid w:val="00C20BEE"/>
    <w:rsid w:val="00C244DC"/>
    <w:rsid w:val="00C24DBA"/>
    <w:rsid w:val="00C27EFD"/>
    <w:rsid w:val="00C313D4"/>
    <w:rsid w:val="00C356FC"/>
    <w:rsid w:val="00C41B98"/>
    <w:rsid w:val="00C46D7B"/>
    <w:rsid w:val="00C526A1"/>
    <w:rsid w:val="00C5560D"/>
    <w:rsid w:val="00C5638B"/>
    <w:rsid w:val="00C6108F"/>
    <w:rsid w:val="00C63953"/>
    <w:rsid w:val="00C70D21"/>
    <w:rsid w:val="00C878EA"/>
    <w:rsid w:val="00C87DAA"/>
    <w:rsid w:val="00C904BD"/>
    <w:rsid w:val="00C95A3A"/>
    <w:rsid w:val="00C95BEC"/>
    <w:rsid w:val="00CA0857"/>
    <w:rsid w:val="00CA5931"/>
    <w:rsid w:val="00CA7666"/>
    <w:rsid w:val="00CB1969"/>
    <w:rsid w:val="00CC04F8"/>
    <w:rsid w:val="00CC1003"/>
    <w:rsid w:val="00CC39CB"/>
    <w:rsid w:val="00CC6EA3"/>
    <w:rsid w:val="00CD1423"/>
    <w:rsid w:val="00CD19E7"/>
    <w:rsid w:val="00CD6F44"/>
    <w:rsid w:val="00CD756F"/>
    <w:rsid w:val="00D20638"/>
    <w:rsid w:val="00D242E8"/>
    <w:rsid w:val="00D24869"/>
    <w:rsid w:val="00D260EA"/>
    <w:rsid w:val="00D313B2"/>
    <w:rsid w:val="00D33210"/>
    <w:rsid w:val="00D35AC9"/>
    <w:rsid w:val="00D3679F"/>
    <w:rsid w:val="00D40AE3"/>
    <w:rsid w:val="00D4287B"/>
    <w:rsid w:val="00D43A86"/>
    <w:rsid w:val="00D4475B"/>
    <w:rsid w:val="00D55DEB"/>
    <w:rsid w:val="00D64264"/>
    <w:rsid w:val="00D7051C"/>
    <w:rsid w:val="00D755E9"/>
    <w:rsid w:val="00D762F1"/>
    <w:rsid w:val="00D763B3"/>
    <w:rsid w:val="00D80107"/>
    <w:rsid w:val="00D82C53"/>
    <w:rsid w:val="00D86E30"/>
    <w:rsid w:val="00D92EF3"/>
    <w:rsid w:val="00D92F7A"/>
    <w:rsid w:val="00D95ECB"/>
    <w:rsid w:val="00D96075"/>
    <w:rsid w:val="00DB7634"/>
    <w:rsid w:val="00DC0BD4"/>
    <w:rsid w:val="00DC1BC7"/>
    <w:rsid w:val="00DC3737"/>
    <w:rsid w:val="00DC4806"/>
    <w:rsid w:val="00DC610E"/>
    <w:rsid w:val="00DD2ECA"/>
    <w:rsid w:val="00DD77C0"/>
    <w:rsid w:val="00DE21EF"/>
    <w:rsid w:val="00DE24E8"/>
    <w:rsid w:val="00DE44C2"/>
    <w:rsid w:val="00DF782A"/>
    <w:rsid w:val="00E0025D"/>
    <w:rsid w:val="00E02CF1"/>
    <w:rsid w:val="00E0333C"/>
    <w:rsid w:val="00E0390B"/>
    <w:rsid w:val="00E041BA"/>
    <w:rsid w:val="00E158BB"/>
    <w:rsid w:val="00E21E4C"/>
    <w:rsid w:val="00E22256"/>
    <w:rsid w:val="00E234D5"/>
    <w:rsid w:val="00E25B4A"/>
    <w:rsid w:val="00E2642B"/>
    <w:rsid w:val="00E27A42"/>
    <w:rsid w:val="00E34B17"/>
    <w:rsid w:val="00E4192A"/>
    <w:rsid w:val="00E444DC"/>
    <w:rsid w:val="00E452A8"/>
    <w:rsid w:val="00E4780A"/>
    <w:rsid w:val="00E5183C"/>
    <w:rsid w:val="00E51F33"/>
    <w:rsid w:val="00E537C4"/>
    <w:rsid w:val="00E559E2"/>
    <w:rsid w:val="00E579E0"/>
    <w:rsid w:val="00E61783"/>
    <w:rsid w:val="00E6262E"/>
    <w:rsid w:val="00E644A6"/>
    <w:rsid w:val="00E64CC3"/>
    <w:rsid w:val="00E75B55"/>
    <w:rsid w:val="00E8589D"/>
    <w:rsid w:val="00E859A0"/>
    <w:rsid w:val="00E917FD"/>
    <w:rsid w:val="00E929F4"/>
    <w:rsid w:val="00EA0EE1"/>
    <w:rsid w:val="00EA3DF7"/>
    <w:rsid w:val="00EA4C79"/>
    <w:rsid w:val="00EA5A33"/>
    <w:rsid w:val="00EB019D"/>
    <w:rsid w:val="00EB6128"/>
    <w:rsid w:val="00EC27D4"/>
    <w:rsid w:val="00EC3547"/>
    <w:rsid w:val="00EC5722"/>
    <w:rsid w:val="00EC7641"/>
    <w:rsid w:val="00EC7D31"/>
    <w:rsid w:val="00ED0752"/>
    <w:rsid w:val="00ED312F"/>
    <w:rsid w:val="00EE2212"/>
    <w:rsid w:val="00EE36A7"/>
    <w:rsid w:val="00EE537F"/>
    <w:rsid w:val="00EF6B19"/>
    <w:rsid w:val="00F02819"/>
    <w:rsid w:val="00F07D4F"/>
    <w:rsid w:val="00F15D6E"/>
    <w:rsid w:val="00F16747"/>
    <w:rsid w:val="00F20A91"/>
    <w:rsid w:val="00F25527"/>
    <w:rsid w:val="00F27675"/>
    <w:rsid w:val="00F325B5"/>
    <w:rsid w:val="00F32F75"/>
    <w:rsid w:val="00F4212F"/>
    <w:rsid w:val="00F476C5"/>
    <w:rsid w:val="00F51909"/>
    <w:rsid w:val="00F57219"/>
    <w:rsid w:val="00F5723C"/>
    <w:rsid w:val="00F600C5"/>
    <w:rsid w:val="00F736C2"/>
    <w:rsid w:val="00F73E3D"/>
    <w:rsid w:val="00F75E27"/>
    <w:rsid w:val="00F762CD"/>
    <w:rsid w:val="00F77482"/>
    <w:rsid w:val="00F77B06"/>
    <w:rsid w:val="00F77F79"/>
    <w:rsid w:val="00F8452B"/>
    <w:rsid w:val="00FA13E4"/>
    <w:rsid w:val="00FA3301"/>
    <w:rsid w:val="00FA7A90"/>
    <w:rsid w:val="00FD214C"/>
    <w:rsid w:val="00FD35F1"/>
    <w:rsid w:val="00FD6562"/>
    <w:rsid w:val="00FD7E5C"/>
    <w:rsid w:val="00FE09E2"/>
    <w:rsid w:val="00FF0C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A62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A6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ociationofanaesthetists-publications.onlinelibrary.wiley.com/action/doSearch?ContribAuthorStored=Spuy%2C+K" TargetMode="External"/><Relationship Id="rId18" Type="http://schemas.openxmlformats.org/officeDocument/2006/relationships/hyperlink" Target="https://doi.org/10.1111/anae.14239" TargetMode="External"/><Relationship Id="rId26" Type="http://schemas.openxmlformats.org/officeDocument/2006/relationships/hyperlink" Target="https://onlinelibrary.wiley.com/action/doSearch?ContribAuthorRaw=Stergiou%2C+George+S" TargetMode="External"/><Relationship Id="rId3" Type="http://schemas.microsoft.com/office/2007/relationships/stylesWithEffects" Target="stylesWithEffects.xml"/><Relationship Id="rId21" Type="http://schemas.openxmlformats.org/officeDocument/2006/relationships/hyperlink" Target="https://www.ncbi.nlm.nih.gov/pubmed/?term=Tsinopoulos%20I%5BAuthor%5D&amp;cauthor=true&amp;cauthor_uid=31382460" TargetMode="External"/><Relationship Id="rId7" Type="http://schemas.openxmlformats.org/officeDocument/2006/relationships/endnotes" Target="endnotes.xml"/><Relationship Id="rId12" Type="http://schemas.openxmlformats.org/officeDocument/2006/relationships/hyperlink" Target="https://associationofanaesthetists-publications.onlinelibrary.wiley.com/action/doSearch?ContribAuthorStored=Crowther%2C+M" TargetMode="External"/><Relationship Id="rId17" Type="http://schemas.openxmlformats.org/officeDocument/2006/relationships/hyperlink" Target="https://associationofanaesthetists-publications.onlinelibrary.wiley.com/action/doSearch?ContribAuthorStored=Roos%2C+J" TargetMode="External"/><Relationship Id="rId25" Type="http://schemas.openxmlformats.org/officeDocument/2006/relationships/hyperlink" Target="https://onlinelibrary.wiley.com/action/doSearch?ContribAuthorRaw=Parati%2C+Gianfranco" TargetMode="External"/><Relationship Id="rId2" Type="http://schemas.openxmlformats.org/officeDocument/2006/relationships/styles" Target="styles.xml"/><Relationship Id="rId16" Type="http://schemas.openxmlformats.org/officeDocument/2006/relationships/hyperlink" Target="https://associationofanaesthetists-publications.onlinelibrary.wiley.com/action/doSearch?ContribAuthorStored=Davids%2C+J+G" TargetMode="External"/><Relationship Id="rId20" Type="http://schemas.openxmlformats.org/officeDocument/2006/relationships/hyperlink" Target="https://www.ncbi.nlm.nih.gov/pubmed/?term=Mylona%20I%5BAuthor%5D&amp;cauthor=true&amp;cauthor_uid=31382460" TargetMode="External"/><Relationship Id="rId29" Type="http://schemas.openxmlformats.org/officeDocument/2006/relationships/hyperlink" Target="https://doi.org/10.1111/jch.133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books/n/nicecg127/ch15/def-item/glossary.gl1-d122/" TargetMode="External"/><Relationship Id="rId24" Type="http://schemas.openxmlformats.org/officeDocument/2006/relationships/hyperlink" Target="https://www.ncbi.nlm.nih.gov/pubmed/22855971" TargetMode="External"/><Relationship Id="rId5" Type="http://schemas.openxmlformats.org/officeDocument/2006/relationships/webSettings" Target="webSettings.xml"/><Relationship Id="rId15" Type="http://schemas.openxmlformats.org/officeDocument/2006/relationships/hyperlink" Target="https://associationofanaesthetists-publications.onlinelibrary.wiley.com/action/doSearch?ContribAuthorStored=Nejthardt%2C+M+B" TargetMode="External"/><Relationship Id="rId23" Type="http://schemas.openxmlformats.org/officeDocument/2006/relationships/hyperlink" Target="http://www.rcplondon.ac.uk/Pages/index.aspx" TargetMode="External"/><Relationship Id="rId28" Type="http://schemas.openxmlformats.org/officeDocument/2006/relationships/hyperlink" Target="https://onlinelibrary.wiley.com/action/doSearch?ContribAuthorRaw=Bilo%2C+Grzegorz" TargetMode="External"/><Relationship Id="rId10" Type="http://schemas.openxmlformats.org/officeDocument/2006/relationships/hyperlink" Target="https://www.ncbi.nlm.nih.gov/books/n/nicecg127/ch15/def-item/glossary.gl1-d76/" TargetMode="External"/><Relationship Id="rId19" Type="http://schemas.openxmlformats.org/officeDocument/2006/relationships/hyperlink" Target="https://pubmed.ncbi.nlm.nih.gov/?term=Aronow%20WS%5BAuthor%5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rmohsinrana2905@gmail.com" TargetMode="External"/><Relationship Id="rId14" Type="http://schemas.openxmlformats.org/officeDocument/2006/relationships/hyperlink" Target="https://associationofanaesthetists-publications.onlinelibrary.wiley.com/action/doSearch?ContribAuthorStored=Roodt%2C+F" TargetMode="External"/><Relationship Id="rId22" Type="http://schemas.openxmlformats.org/officeDocument/2006/relationships/hyperlink" Target="https://www.ncbi.nlm.nih.gov/pmc/articles/PMC6723767/" TargetMode="External"/><Relationship Id="rId27" Type="http://schemas.openxmlformats.org/officeDocument/2006/relationships/hyperlink" Target="https://onlinelibrary.wiley.com/action/doSearch?ContribAuthorRaw=Dolan%2C+Eam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299</cp:revision>
  <dcterms:created xsi:type="dcterms:W3CDTF">2022-10-23T12:47:00Z</dcterms:created>
  <dcterms:modified xsi:type="dcterms:W3CDTF">2022-12-14T13:46:00Z</dcterms:modified>
</cp:coreProperties>
</file>