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8" w:tblpY="1"/>
        <w:tblOverlap w:val="neve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tblGrid>
      <w:tr w:rsidR="001439ED" w:rsidRPr="00EF6B19" w14:paraId="669C9CBA" w14:textId="77777777" w:rsidTr="00873BAA">
        <w:trPr>
          <w:trHeight w:val="144"/>
        </w:trPr>
        <w:tc>
          <w:tcPr>
            <w:tcW w:w="1440" w:type="dxa"/>
            <w:vAlign w:val="center"/>
          </w:tcPr>
          <w:p w14:paraId="11AE4BBF" w14:textId="77777777" w:rsidR="001439ED" w:rsidRPr="00EF6B19" w:rsidRDefault="001439ED" w:rsidP="00EF6B19">
            <w:pPr>
              <w:shd w:val="clear" w:color="auto" w:fill="FFFFFF"/>
              <w:spacing w:after="0" w:line="240" w:lineRule="auto"/>
              <w:ind w:left="-90" w:right="-108"/>
              <w:jc w:val="center"/>
              <w:rPr>
                <w:rFonts w:ascii="Times New Roman" w:hAnsi="Times New Roman"/>
                <w:b/>
              </w:rPr>
            </w:pPr>
            <w:r w:rsidRPr="00EF6B19">
              <w:rPr>
                <w:rFonts w:ascii="Times New Roman" w:hAnsi="Times New Roman"/>
                <w:b/>
                <w:sz w:val="20"/>
              </w:rPr>
              <w:t>Original Article</w:t>
            </w:r>
          </w:p>
        </w:tc>
      </w:tr>
    </w:tbl>
    <w:p w14:paraId="21356A35" w14:textId="77777777" w:rsidR="001439ED" w:rsidRPr="00EF6B19" w:rsidRDefault="001439ED" w:rsidP="00EF6B19">
      <w:pPr>
        <w:shd w:val="clear" w:color="auto" w:fill="FFFFFF"/>
        <w:spacing w:after="0" w:line="240" w:lineRule="auto"/>
        <w:rPr>
          <w:rFonts w:ascii="Times New Roman" w:hAnsi="Times New Roman"/>
          <w:vanish/>
        </w:rPr>
      </w:pPr>
    </w:p>
    <w:tbl>
      <w:tblPr>
        <w:tblpPr w:leftFromText="180" w:rightFromText="180" w:vertAnchor="text" w:horzAnchor="margin" w:tblpXSpec="right" w:tblpY="24"/>
        <w:tblOverlap w:val="neve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tblGrid>
      <w:tr w:rsidR="001439ED" w:rsidRPr="00EF6B19" w14:paraId="1C912A52" w14:textId="77777777" w:rsidTr="006F53BB">
        <w:trPr>
          <w:trHeight w:val="216"/>
        </w:trPr>
        <w:tc>
          <w:tcPr>
            <w:tcW w:w="1548" w:type="dxa"/>
            <w:vAlign w:val="center"/>
          </w:tcPr>
          <w:p w14:paraId="1938368B" w14:textId="795E6DDF" w:rsidR="001439ED" w:rsidRPr="00036981" w:rsidRDefault="00036981" w:rsidP="00EF6B19">
            <w:pPr>
              <w:shd w:val="clear" w:color="auto" w:fill="FFFFFF"/>
              <w:spacing w:after="0" w:line="240" w:lineRule="auto"/>
              <w:ind w:left="-86" w:right="-115"/>
              <w:jc w:val="center"/>
              <w:rPr>
                <w:rFonts w:ascii="Times New Roman Bold" w:hAnsi="Times New Roman Bold"/>
                <w:b/>
                <w:sz w:val="20"/>
              </w:rPr>
            </w:pPr>
            <w:r w:rsidRPr="00036981">
              <w:rPr>
                <w:rFonts w:ascii="Times New Roman Bold" w:hAnsi="Times New Roman Bold"/>
                <w:b/>
                <w:sz w:val="20"/>
                <w:szCs w:val="20"/>
              </w:rPr>
              <w:t xml:space="preserve">Leakage in Primary Repair of Acute Colonic </w:t>
            </w:r>
            <w:r w:rsidRPr="00036981">
              <w:rPr>
                <w:rFonts w:ascii="Times New Roman Bold" w:hAnsi="Times New Roman Bold"/>
                <w:b/>
                <w:sz w:val="20"/>
                <w:szCs w:val="20"/>
              </w:rPr>
              <w:br/>
              <w:t>Injury</w:t>
            </w:r>
          </w:p>
        </w:tc>
      </w:tr>
    </w:tbl>
    <w:p w14:paraId="08114BA2" w14:textId="689346CE" w:rsidR="001439ED" w:rsidRPr="00DF506A" w:rsidRDefault="00DF506A" w:rsidP="006F53BB">
      <w:pPr>
        <w:shd w:val="clear" w:color="auto" w:fill="FFFFFF"/>
        <w:autoSpaceDE w:val="0"/>
        <w:autoSpaceDN w:val="0"/>
        <w:adjustRightInd w:val="0"/>
        <w:spacing w:after="0" w:line="240" w:lineRule="auto"/>
        <w:ind w:left="-86" w:right="-274"/>
        <w:jc w:val="center"/>
        <w:rPr>
          <w:rFonts w:ascii="Times New Roman" w:hAnsi="Times New Roman"/>
          <w:b/>
          <w:sz w:val="40"/>
          <w:szCs w:val="40"/>
        </w:rPr>
      </w:pPr>
      <w:r w:rsidRPr="00DF506A">
        <w:rPr>
          <w:rFonts w:ascii="Times New Roman" w:hAnsi="Times New Roman"/>
          <w:b/>
          <w:sz w:val="40"/>
          <w:szCs w:val="20"/>
        </w:rPr>
        <w:t>Frequency of Leakage in Primary Repair of Acute Colonic Injury</w:t>
      </w:r>
    </w:p>
    <w:p w14:paraId="1A8F300A" w14:textId="58393347" w:rsidR="006E470D" w:rsidRPr="00570DB4" w:rsidRDefault="00A67E10" w:rsidP="007C6426">
      <w:pPr>
        <w:shd w:val="clear" w:color="auto" w:fill="FFFFFF"/>
        <w:spacing w:after="0" w:line="240" w:lineRule="auto"/>
        <w:jc w:val="center"/>
        <w:rPr>
          <w:rFonts w:ascii="Times New Roman" w:hAnsi="Times New Roman"/>
          <w:b/>
          <w:bCs/>
          <w:sz w:val="24"/>
        </w:rPr>
      </w:pPr>
      <w:r w:rsidRPr="00570DB4">
        <w:rPr>
          <w:rFonts w:ascii="Times New Roman" w:eastAsia="Arial" w:hAnsi="Times New Roman"/>
          <w:b/>
          <w:sz w:val="24"/>
          <w:szCs w:val="20"/>
        </w:rPr>
        <w:t>Ajmal Khan</w:t>
      </w:r>
      <w:r w:rsidR="00854DA9" w:rsidRPr="00854DA9">
        <w:rPr>
          <w:rFonts w:ascii="Times New Roman Bold" w:eastAsia="Arial" w:hAnsi="Times New Roman Bold"/>
          <w:b/>
          <w:sz w:val="24"/>
          <w:szCs w:val="20"/>
          <w:vertAlign w:val="superscript"/>
        </w:rPr>
        <w:t>1</w:t>
      </w:r>
      <w:r w:rsidRPr="00570DB4">
        <w:rPr>
          <w:rFonts w:ascii="Times New Roman" w:eastAsia="Arial" w:hAnsi="Times New Roman"/>
          <w:b/>
          <w:sz w:val="24"/>
          <w:szCs w:val="20"/>
        </w:rPr>
        <w:t>, Marium Khurshid</w:t>
      </w:r>
      <w:r w:rsidR="00CE5D27">
        <w:rPr>
          <w:rFonts w:ascii="Times New Roman Bold" w:eastAsia="Arial" w:hAnsi="Times New Roman Bold"/>
          <w:b/>
          <w:sz w:val="24"/>
          <w:szCs w:val="20"/>
          <w:vertAlign w:val="superscript"/>
        </w:rPr>
        <w:t>2</w:t>
      </w:r>
      <w:r w:rsidRPr="00570DB4">
        <w:rPr>
          <w:rFonts w:ascii="Times New Roman" w:eastAsia="Arial" w:hAnsi="Times New Roman"/>
          <w:b/>
          <w:sz w:val="24"/>
          <w:szCs w:val="20"/>
        </w:rPr>
        <w:t>, Sana Israr</w:t>
      </w:r>
      <w:r w:rsidR="00233843">
        <w:rPr>
          <w:rFonts w:ascii="Times New Roman Bold" w:eastAsia="Arial" w:hAnsi="Times New Roman Bold"/>
          <w:b/>
          <w:sz w:val="24"/>
          <w:szCs w:val="20"/>
          <w:vertAlign w:val="superscript"/>
        </w:rPr>
        <w:t>3</w:t>
      </w:r>
      <w:r w:rsidRPr="00570DB4">
        <w:rPr>
          <w:rFonts w:ascii="Times New Roman" w:eastAsia="Arial" w:hAnsi="Times New Roman"/>
          <w:b/>
          <w:sz w:val="24"/>
          <w:szCs w:val="20"/>
        </w:rPr>
        <w:t>, Faryal Saeed</w:t>
      </w:r>
      <w:r w:rsidR="00D63CC2">
        <w:rPr>
          <w:rFonts w:ascii="Times New Roman Bold" w:eastAsia="Arial" w:hAnsi="Times New Roman Bold"/>
          <w:b/>
          <w:sz w:val="24"/>
          <w:szCs w:val="20"/>
          <w:vertAlign w:val="superscript"/>
        </w:rPr>
        <w:t>4</w:t>
      </w:r>
      <w:r w:rsidRPr="00570DB4">
        <w:rPr>
          <w:rFonts w:ascii="Times New Roman" w:eastAsia="Arial" w:hAnsi="Times New Roman"/>
          <w:b/>
          <w:sz w:val="24"/>
          <w:szCs w:val="20"/>
        </w:rPr>
        <w:t>, Kamran Khan</w:t>
      </w:r>
      <w:r w:rsidR="005F6E35">
        <w:rPr>
          <w:rFonts w:ascii="Times New Roman Bold" w:eastAsia="Arial" w:hAnsi="Times New Roman Bold"/>
          <w:b/>
          <w:sz w:val="24"/>
          <w:szCs w:val="20"/>
          <w:vertAlign w:val="superscript"/>
        </w:rPr>
        <w:t>5</w:t>
      </w:r>
      <w:r w:rsidR="00844F97">
        <w:rPr>
          <w:rFonts w:ascii="Times New Roman" w:eastAsia="Arial" w:hAnsi="Times New Roman"/>
          <w:b/>
          <w:sz w:val="24"/>
          <w:szCs w:val="20"/>
        </w:rPr>
        <w:t xml:space="preserve"> and </w:t>
      </w:r>
      <w:r w:rsidRPr="00570DB4">
        <w:rPr>
          <w:rFonts w:ascii="Times New Roman" w:eastAsia="Arial" w:hAnsi="Times New Roman"/>
          <w:b/>
          <w:sz w:val="24"/>
          <w:szCs w:val="20"/>
        </w:rPr>
        <w:t>Ibrar Ahmed</w:t>
      </w:r>
      <w:r w:rsidR="0048545A">
        <w:rPr>
          <w:rFonts w:ascii="Times New Roman Bold" w:eastAsia="Arial" w:hAnsi="Times New Roman Bold"/>
          <w:b/>
          <w:sz w:val="24"/>
          <w:szCs w:val="20"/>
          <w:vertAlign w:val="superscript"/>
        </w:rPr>
        <w:t>6</w:t>
      </w:r>
    </w:p>
    <w:p w14:paraId="0232AD3A" w14:textId="77777777" w:rsidR="00AD6169" w:rsidRPr="00EF6B19" w:rsidRDefault="0028749D" w:rsidP="00EF6B19">
      <w:pPr>
        <w:shd w:val="clear" w:color="auto" w:fill="FFFFFF"/>
        <w:spacing w:before="120" w:after="120" w:line="240" w:lineRule="auto"/>
        <w:jc w:val="center"/>
        <w:rPr>
          <w:rStyle w:val="apple-converted-space"/>
          <w:rFonts w:ascii="Times New Roman" w:hAnsi="Times New Roman"/>
          <w:b/>
          <w:sz w:val="28"/>
          <w:szCs w:val="20"/>
        </w:rPr>
      </w:pPr>
      <w:r w:rsidRPr="00EF6B19">
        <w:rPr>
          <w:rStyle w:val="apple-converted-space"/>
          <w:rFonts w:ascii="Times New Roman" w:hAnsi="Times New Roman"/>
          <w:b/>
          <w:sz w:val="28"/>
          <w:szCs w:val="20"/>
        </w:rPr>
        <w:t>ABSTRACT</w:t>
      </w:r>
    </w:p>
    <w:p w14:paraId="6D2C4962" w14:textId="79003947" w:rsidR="00B13A72" w:rsidRPr="00EF6B19" w:rsidRDefault="00306311" w:rsidP="00377232">
      <w:pPr>
        <w:shd w:val="clear" w:color="auto" w:fill="FFFFFF"/>
        <w:spacing w:after="0" w:line="235" w:lineRule="auto"/>
        <w:jc w:val="both"/>
        <w:rPr>
          <w:rFonts w:ascii="Times New Roman" w:hAnsi="Times New Roman"/>
          <w:b/>
          <w:sz w:val="20"/>
        </w:rPr>
      </w:pPr>
      <w:r w:rsidRPr="00EF6B19">
        <w:rPr>
          <w:rFonts w:ascii="Times New Roman" w:hAnsi="Times New Roman"/>
          <w:b/>
          <w:sz w:val="20"/>
        </w:rPr>
        <w:t>Objective:</w:t>
      </w:r>
      <w:r w:rsidR="00712043">
        <w:rPr>
          <w:rFonts w:ascii="Times New Roman" w:hAnsi="Times New Roman"/>
          <w:b/>
          <w:sz w:val="20"/>
        </w:rPr>
        <w:t xml:space="preserve"> </w:t>
      </w:r>
      <w:r w:rsidR="00712043" w:rsidRPr="00661B8A">
        <w:rPr>
          <w:rFonts w:ascii="Times New Roman" w:hAnsi="Times New Roman"/>
          <w:iCs/>
          <w:color w:val="0E101A"/>
          <w:sz w:val="20"/>
          <w:szCs w:val="20"/>
        </w:rPr>
        <w:t>To determine the frequency of Leakage in primary repair of acute colonic injury patients admitted in Surgical B Ward, Ayub Teaching Hospital, Abbottabad</w:t>
      </w:r>
      <w:r w:rsidR="00712043">
        <w:rPr>
          <w:rFonts w:ascii="Times New Roman" w:hAnsi="Times New Roman"/>
          <w:iCs/>
          <w:color w:val="0E101A"/>
          <w:sz w:val="20"/>
          <w:szCs w:val="20"/>
        </w:rPr>
        <w:t>.</w:t>
      </w:r>
    </w:p>
    <w:p w14:paraId="57082119" w14:textId="22E64977" w:rsidR="005011E6" w:rsidRPr="00EF6B19" w:rsidRDefault="00533363" w:rsidP="00377232">
      <w:pPr>
        <w:shd w:val="clear" w:color="auto" w:fill="FFFFFF"/>
        <w:spacing w:after="0" w:line="235" w:lineRule="auto"/>
        <w:jc w:val="both"/>
        <w:rPr>
          <w:rFonts w:ascii="Times New Roman" w:hAnsi="Times New Roman"/>
          <w:b/>
          <w:sz w:val="20"/>
        </w:rPr>
      </w:pPr>
      <w:r w:rsidRPr="00EF6B19">
        <w:rPr>
          <w:rFonts w:ascii="Times New Roman" w:hAnsi="Times New Roman"/>
          <w:b/>
          <w:sz w:val="20"/>
        </w:rPr>
        <w:t>Study Design:</w:t>
      </w:r>
      <w:r w:rsidR="004C5BE9">
        <w:rPr>
          <w:rFonts w:ascii="Times New Roman" w:hAnsi="Times New Roman"/>
          <w:b/>
          <w:sz w:val="20"/>
        </w:rPr>
        <w:t xml:space="preserve"> </w:t>
      </w:r>
      <w:r w:rsidR="004C5BE9" w:rsidRPr="00661B8A">
        <w:rPr>
          <w:rFonts w:ascii="Times New Roman" w:hAnsi="Times New Roman"/>
          <w:iCs/>
          <w:color w:val="0E101A"/>
          <w:sz w:val="20"/>
          <w:szCs w:val="20"/>
        </w:rPr>
        <w:t>Cross-sectional study</w:t>
      </w:r>
    </w:p>
    <w:p w14:paraId="6DEAAD99" w14:textId="2683D0EE" w:rsidR="00533363" w:rsidRPr="00EF6B19" w:rsidRDefault="00C176BB" w:rsidP="00377232">
      <w:pPr>
        <w:shd w:val="clear" w:color="auto" w:fill="FFFFFF"/>
        <w:spacing w:after="0" w:line="235" w:lineRule="auto"/>
        <w:jc w:val="both"/>
        <w:rPr>
          <w:rFonts w:ascii="Times New Roman" w:hAnsi="Times New Roman"/>
          <w:sz w:val="20"/>
        </w:rPr>
      </w:pPr>
      <w:r w:rsidRPr="00EF6B19">
        <w:rPr>
          <w:rFonts w:ascii="Times New Roman" w:hAnsi="Times New Roman"/>
          <w:b/>
          <w:sz w:val="20"/>
        </w:rPr>
        <w:t xml:space="preserve">Place and Duration of Study: </w:t>
      </w:r>
      <w:r w:rsidRPr="00EF6B19">
        <w:rPr>
          <w:rFonts w:ascii="Times New Roman" w:hAnsi="Times New Roman"/>
          <w:sz w:val="20"/>
        </w:rPr>
        <w:t xml:space="preserve">This study was conducted at the </w:t>
      </w:r>
      <w:r w:rsidR="004C5BE9" w:rsidRPr="00661B8A">
        <w:rPr>
          <w:rFonts w:ascii="Times New Roman" w:hAnsi="Times New Roman"/>
          <w:bCs/>
          <w:iCs/>
          <w:color w:val="0E101A"/>
          <w:sz w:val="20"/>
          <w:szCs w:val="20"/>
        </w:rPr>
        <w:t xml:space="preserve">Department of General Surgery, </w:t>
      </w:r>
      <w:r w:rsidR="004C5BE9" w:rsidRPr="00661B8A">
        <w:rPr>
          <w:rFonts w:ascii="Times New Roman" w:hAnsi="Times New Roman"/>
          <w:iCs/>
          <w:color w:val="0E101A"/>
          <w:sz w:val="20"/>
          <w:szCs w:val="20"/>
        </w:rPr>
        <w:t>Ayub Teaching Hospital, Abbottabad from January 2022 to June 2022.</w:t>
      </w:r>
    </w:p>
    <w:p w14:paraId="5F12A78A" w14:textId="62955D09" w:rsidR="00C176BB" w:rsidRPr="00EF6B19" w:rsidRDefault="004E640F" w:rsidP="00377232">
      <w:pPr>
        <w:shd w:val="clear" w:color="auto" w:fill="FFFFFF"/>
        <w:spacing w:after="0" w:line="235" w:lineRule="auto"/>
        <w:jc w:val="both"/>
        <w:rPr>
          <w:rFonts w:ascii="Times New Roman" w:hAnsi="Times New Roman"/>
          <w:b/>
          <w:sz w:val="20"/>
        </w:rPr>
      </w:pPr>
      <w:r w:rsidRPr="00EF6B19">
        <w:rPr>
          <w:rFonts w:ascii="Times New Roman" w:hAnsi="Times New Roman"/>
          <w:b/>
          <w:sz w:val="20"/>
        </w:rPr>
        <w:t>Materials and Methods:</w:t>
      </w:r>
      <w:r w:rsidR="004C5BE9">
        <w:rPr>
          <w:rFonts w:ascii="Times New Roman" w:hAnsi="Times New Roman"/>
          <w:b/>
          <w:sz w:val="20"/>
        </w:rPr>
        <w:t xml:space="preserve"> </w:t>
      </w:r>
      <w:r w:rsidR="007513F5" w:rsidRPr="00661B8A">
        <w:rPr>
          <w:rFonts w:ascii="Times New Roman" w:hAnsi="Times New Roman"/>
          <w:color w:val="0E101A"/>
          <w:sz w:val="20"/>
          <w:szCs w:val="20"/>
        </w:rPr>
        <w:t xml:space="preserve">Eighty-nine patients </w:t>
      </w:r>
      <w:r w:rsidR="007513F5" w:rsidRPr="00661B8A">
        <w:rPr>
          <w:rFonts w:ascii="Times New Roman" w:hAnsi="Times New Roman"/>
          <w:iCs/>
          <w:color w:val="0E101A"/>
          <w:sz w:val="20"/>
          <w:szCs w:val="20"/>
        </w:rPr>
        <w:t>who attending the surgery department for any type of trauma, ages ranging from 22 to 50 years of either gender were enrolled. After patient selection, their history, examination, investigations (complete blood count, renal functions tests, serum electrolytes, liver functions examinations, screening tests for hepatitis C, hepatitis B, abdominal ultrasound, chest x-ray), surgery was carried out.</w:t>
      </w:r>
    </w:p>
    <w:p w14:paraId="69B234C5" w14:textId="7DD8A561" w:rsidR="004E640F" w:rsidRPr="00EF6B19" w:rsidRDefault="000D71A3" w:rsidP="00377232">
      <w:pPr>
        <w:shd w:val="clear" w:color="auto" w:fill="FFFFFF"/>
        <w:spacing w:after="0" w:line="235" w:lineRule="auto"/>
        <w:jc w:val="both"/>
        <w:rPr>
          <w:rFonts w:ascii="Times New Roman" w:hAnsi="Times New Roman"/>
          <w:b/>
          <w:sz w:val="20"/>
        </w:rPr>
      </w:pPr>
      <w:r w:rsidRPr="00EF6B19">
        <w:rPr>
          <w:rFonts w:ascii="Times New Roman" w:hAnsi="Times New Roman"/>
          <w:b/>
          <w:sz w:val="20"/>
        </w:rPr>
        <w:t>Results:</w:t>
      </w:r>
      <w:r w:rsidR="007513F5">
        <w:rPr>
          <w:rFonts w:ascii="Times New Roman" w:hAnsi="Times New Roman"/>
          <w:b/>
          <w:sz w:val="20"/>
        </w:rPr>
        <w:t xml:space="preserve"> </w:t>
      </w:r>
      <w:r w:rsidR="007513F5" w:rsidRPr="00661B8A">
        <w:rPr>
          <w:rFonts w:ascii="Times New Roman" w:hAnsi="Times New Roman"/>
          <w:iCs/>
          <w:color w:val="0E101A"/>
          <w:sz w:val="20"/>
          <w:szCs w:val="20"/>
        </w:rPr>
        <w:t>The mean age group of subjects the patients was 36.69±8.325. The age group ranged between 22 and 50 years, and the frequency of gender of the subjects, 63(70.8%), was male, and 26(29.2%) were female. In the frequency of the type of trauma, patients presented with a firearm injury to the abdomen with colon were 38(42.7%), with blunt abdominal trauma were 20(22.5%), and stab wound abdomen was 20(22.5%). In contrast, other types of trauma e.g. fall from the roof and RTA etc. were 1 to 4%. In the frequency of anastomotic Leakage, 21(23.6%) patients were found to have a postoperative complication, i.e. anastomotic Leakage, while the remaining 68(76.4%) had no leakage.</w:t>
      </w:r>
    </w:p>
    <w:p w14:paraId="749F4906" w14:textId="540EC83E" w:rsidR="000D71A3" w:rsidRPr="00EF6B19" w:rsidRDefault="00171DE2" w:rsidP="00377232">
      <w:pPr>
        <w:shd w:val="clear" w:color="auto" w:fill="FFFFFF"/>
        <w:spacing w:after="0" w:line="235" w:lineRule="auto"/>
        <w:jc w:val="both"/>
        <w:rPr>
          <w:rFonts w:ascii="Times New Roman" w:hAnsi="Times New Roman"/>
          <w:b/>
          <w:sz w:val="20"/>
        </w:rPr>
      </w:pPr>
      <w:r w:rsidRPr="00EF6B19">
        <w:rPr>
          <w:rFonts w:ascii="Times New Roman" w:hAnsi="Times New Roman"/>
          <w:b/>
          <w:sz w:val="20"/>
        </w:rPr>
        <w:t>Conclusion:</w:t>
      </w:r>
      <w:r w:rsidR="007513F5">
        <w:rPr>
          <w:rFonts w:ascii="Times New Roman" w:hAnsi="Times New Roman"/>
          <w:b/>
          <w:sz w:val="20"/>
        </w:rPr>
        <w:t xml:space="preserve"> </w:t>
      </w:r>
      <w:r w:rsidR="007513F5" w:rsidRPr="00661B8A">
        <w:rPr>
          <w:rFonts w:ascii="Times New Roman" w:hAnsi="Times New Roman"/>
          <w:iCs/>
          <w:color w:val="0E101A"/>
          <w:sz w:val="20"/>
          <w:szCs w:val="20"/>
        </w:rPr>
        <w:t>Colonic wounds continue to be a clinical issue for trauma surgeons that are both prevalent and occasionally difficult. Those improvements in both death rates and morbidity amply illustrate the extraordinary advancement in caring for these wounds.</w:t>
      </w:r>
    </w:p>
    <w:p w14:paraId="1DC154C2" w14:textId="783E0845" w:rsidR="00171DE2" w:rsidRPr="00EF6B19" w:rsidRDefault="00171DE2" w:rsidP="00377232">
      <w:pPr>
        <w:shd w:val="clear" w:color="auto" w:fill="FFFFFF"/>
        <w:spacing w:after="0" w:line="235" w:lineRule="auto"/>
        <w:jc w:val="both"/>
        <w:rPr>
          <w:rFonts w:ascii="Times New Roman" w:hAnsi="Times New Roman"/>
          <w:b/>
          <w:sz w:val="20"/>
        </w:rPr>
      </w:pPr>
      <w:r w:rsidRPr="00EF6B19">
        <w:rPr>
          <w:rFonts w:ascii="Times New Roman" w:hAnsi="Times New Roman"/>
          <w:b/>
          <w:sz w:val="20"/>
        </w:rPr>
        <w:t>Key Words:</w:t>
      </w:r>
      <w:r w:rsidR="007513F5">
        <w:rPr>
          <w:rFonts w:ascii="Times New Roman" w:hAnsi="Times New Roman"/>
          <w:b/>
          <w:sz w:val="20"/>
        </w:rPr>
        <w:t xml:space="preserve"> </w:t>
      </w:r>
      <w:r w:rsidR="007513F5" w:rsidRPr="00661B8A">
        <w:rPr>
          <w:rFonts w:ascii="Times New Roman" w:hAnsi="Times New Roman"/>
          <w:iCs/>
          <w:color w:val="0E101A"/>
          <w:sz w:val="20"/>
          <w:szCs w:val="20"/>
        </w:rPr>
        <w:t>Anastomotic Leakage, primary repair, acute colonic injury</w:t>
      </w:r>
    </w:p>
    <w:p w14:paraId="1CDD4768" w14:textId="4F3B3F75" w:rsidR="00171DE2" w:rsidRPr="00EF6B19" w:rsidRDefault="00393162" w:rsidP="00DF506A">
      <w:pPr>
        <w:shd w:val="clear" w:color="auto" w:fill="FFFFFF"/>
        <w:spacing w:before="120" w:after="120" w:line="240" w:lineRule="auto"/>
        <w:jc w:val="both"/>
        <w:rPr>
          <w:rFonts w:ascii="Times New Roman" w:hAnsi="Times New Roman"/>
          <w:b/>
          <w:sz w:val="20"/>
          <w:szCs w:val="20"/>
          <w:lang w:eastAsia="ar-SA"/>
        </w:rPr>
      </w:pPr>
      <w:r w:rsidRPr="00EF6B19">
        <w:rPr>
          <w:rFonts w:ascii="Times New Roman" w:hAnsi="Times New Roman"/>
          <w:b/>
          <w:sz w:val="20"/>
        </w:rPr>
        <w:t xml:space="preserve">Citation of article: </w:t>
      </w:r>
      <w:r w:rsidR="00570DB4" w:rsidRPr="00570DB4">
        <w:rPr>
          <w:rFonts w:ascii="Times New Roman" w:eastAsia="Arial" w:hAnsi="Times New Roman"/>
          <w:b/>
          <w:sz w:val="20"/>
          <w:szCs w:val="20"/>
        </w:rPr>
        <w:t>Khan</w:t>
      </w:r>
      <w:r w:rsidR="00570DB4">
        <w:rPr>
          <w:rFonts w:ascii="Times New Roman" w:eastAsia="Arial" w:hAnsi="Times New Roman"/>
          <w:b/>
          <w:sz w:val="20"/>
          <w:szCs w:val="20"/>
        </w:rPr>
        <w:t xml:space="preserve"> A</w:t>
      </w:r>
      <w:r w:rsidR="00570DB4" w:rsidRPr="00570DB4">
        <w:rPr>
          <w:rFonts w:ascii="Times New Roman" w:eastAsia="Arial" w:hAnsi="Times New Roman"/>
          <w:b/>
          <w:sz w:val="20"/>
          <w:szCs w:val="20"/>
        </w:rPr>
        <w:t>, Khurshid</w:t>
      </w:r>
      <w:r w:rsidR="00570DB4">
        <w:rPr>
          <w:rFonts w:ascii="Times New Roman" w:eastAsia="Arial" w:hAnsi="Times New Roman"/>
          <w:b/>
          <w:sz w:val="20"/>
          <w:szCs w:val="20"/>
        </w:rPr>
        <w:t xml:space="preserve"> M</w:t>
      </w:r>
      <w:r w:rsidR="00570DB4" w:rsidRPr="00570DB4">
        <w:rPr>
          <w:rFonts w:ascii="Times New Roman" w:eastAsia="Arial" w:hAnsi="Times New Roman"/>
          <w:b/>
          <w:sz w:val="20"/>
          <w:szCs w:val="20"/>
        </w:rPr>
        <w:t>, Israr</w:t>
      </w:r>
      <w:r w:rsidR="00570DB4">
        <w:rPr>
          <w:rFonts w:ascii="Times New Roman" w:eastAsia="Arial" w:hAnsi="Times New Roman"/>
          <w:b/>
          <w:sz w:val="20"/>
          <w:szCs w:val="20"/>
        </w:rPr>
        <w:t xml:space="preserve"> S</w:t>
      </w:r>
      <w:r w:rsidR="00570DB4" w:rsidRPr="00570DB4">
        <w:rPr>
          <w:rFonts w:ascii="Times New Roman" w:eastAsia="Arial" w:hAnsi="Times New Roman"/>
          <w:b/>
          <w:sz w:val="20"/>
          <w:szCs w:val="20"/>
        </w:rPr>
        <w:t>, Saeed</w:t>
      </w:r>
      <w:r w:rsidR="00570DB4">
        <w:rPr>
          <w:rFonts w:ascii="Times New Roman" w:eastAsia="Arial" w:hAnsi="Times New Roman"/>
          <w:b/>
          <w:sz w:val="20"/>
          <w:szCs w:val="20"/>
        </w:rPr>
        <w:t xml:space="preserve"> F</w:t>
      </w:r>
      <w:r w:rsidR="00570DB4" w:rsidRPr="00570DB4">
        <w:rPr>
          <w:rFonts w:ascii="Times New Roman" w:eastAsia="Arial" w:hAnsi="Times New Roman"/>
          <w:b/>
          <w:sz w:val="20"/>
          <w:szCs w:val="20"/>
        </w:rPr>
        <w:t>, Khan</w:t>
      </w:r>
      <w:r w:rsidR="00570DB4">
        <w:rPr>
          <w:rFonts w:ascii="Times New Roman" w:eastAsia="Arial" w:hAnsi="Times New Roman"/>
          <w:b/>
          <w:sz w:val="20"/>
          <w:szCs w:val="20"/>
        </w:rPr>
        <w:t xml:space="preserve"> K</w:t>
      </w:r>
      <w:r w:rsidR="00570DB4" w:rsidRPr="00570DB4">
        <w:rPr>
          <w:rFonts w:ascii="Times New Roman" w:eastAsia="Arial" w:hAnsi="Times New Roman"/>
          <w:b/>
          <w:sz w:val="20"/>
          <w:szCs w:val="20"/>
        </w:rPr>
        <w:t>, Ahmed</w:t>
      </w:r>
      <w:r w:rsidR="00570DB4" w:rsidRPr="00661B8A">
        <w:rPr>
          <w:rFonts w:ascii="Times New Roman" w:hAnsi="Times New Roman"/>
          <w:b/>
          <w:sz w:val="20"/>
          <w:szCs w:val="20"/>
        </w:rPr>
        <w:t xml:space="preserve"> </w:t>
      </w:r>
      <w:r w:rsidR="00570DB4">
        <w:rPr>
          <w:rFonts w:ascii="Times New Roman" w:hAnsi="Times New Roman"/>
          <w:b/>
          <w:sz w:val="20"/>
          <w:szCs w:val="20"/>
        </w:rPr>
        <w:t xml:space="preserve">I. </w:t>
      </w:r>
      <w:r w:rsidR="00DF506A" w:rsidRPr="00661B8A">
        <w:rPr>
          <w:rFonts w:ascii="Times New Roman" w:hAnsi="Times New Roman"/>
          <w:b/>
          <w:sz w:val="20"/>
          <w:szCs w:val="20"/>
        </w:rPr>
        <w:t>Frequency of Leakage in Primary Repair of Acute Colonic Injury</w:t>
      </w:r>
      <w:r w:rsidR="00DF506A">
        <w:rPr>
          <w:rFonts w:ascii="Times New Roman" w:hAnsi="Times New Roman"/>
          <w:b/>
          <w:sz w:val="20"/>
          <w:szCs w:val="20"/>
        </w:rPr>
        <w:t>.</w:t>
      </w:r>
      <w:r w:rsidR="00DF506A" w:rsidRPr="00EF6B19">
        <w:rPr>
          <w:rFonts w:ascii="Times New Roman" w:hAnsi="Times New Roman"/>
          <w:b/>
          <w:bCs/>
          <w:sz w:val="20"/>
          <w:szCs w:val="20"/>
        </w:rPr>
        <w:t xml:space="preserve"> </w:t>
      </w:r>
      <w:r w:rsidR="00E6262E" w:rsidRPr="00EF6B19">
        <w:rPr>
          <w:rFonts w:ascii="Times New Roman" w:hAnsi="Times New Roman"/>
          <w:b/>
          <w:bCs/>
          <w:sz w:val="20"/>
          <w:szCs w:val="20"/>
        </w:rPr>
        <w:t xml:space="preserve">Med Forum </w:t>
      </w:r>
      <w:r w:rsidR="00E6262E" w:rsidRPr="00EF6B19">
        <w:rPr>
          <w:rFonts w:ascii="Times New Roman" w:hAnsi="Times New Roman"/>
          <w:b/>
          <w:sz w:val="20"/>
          <w:szCs w:val="20"/>
          <w:lang w:eastAsia="ar-SA"/>
        </w:rPr>
        <w:t>20</w:t>
      </w:r>
      <w:r w:rsidR="005F341A">
        <w:rPr>
          <w:rFonts w:ascii="Times New Roman" w:hAnsi="Times New Roman"/>
          <w:b/>
          <w:sz w:val="20"/>
          <w:szCs w:val="20"/>
          <w:lang w:eastAsia="ar-SA"/>
        </w:rPr>
        <w:t>2</w:t>
      </w:r>
      <w:r w:rsidR="006F5BEA">
        <w:rPr>
          <w:rFonts w:ascii="Times New Roman" w:hAnsi="Times New Roman"/>
          <w:b/>
          <w:sz w:val="20"/>
          <w:szCs w:val="20"/>
          <w:lang w:eastAsia="ar-SA"/>
        </w:rPr>
        <w:t>2</w:t>
      </w:r>
      <w:r w:rsidR="00E6262E" w:rsidRPr="00EF6B19">
        <w:rPr>
          <w:rFonts w:ascii="Times New Roman" w:hAnsi="Times New Roman"/>
          <w:b/>
          <w:sz w:val="20"/>
          <w:szCs w:val="20"/>
          <w:lang w:eastAsia="ar-SA"/>
        </w:rPr>
        <w:t>;</w:t>
      </w:r>
      <w:r w:rsidR="00623C75">
        <w:rPr>
          <w:rFonts w:ascii="Times New Roman" w:hAnsi="Times New Roman"/>
          <w:b/>
          <w:sz w:val="20"/>
          <w:szCs w:val="20"/>
          <w:lang w:eastAsia="ar-SA"/>
        </w:rPr>
        <w:t>3</w:t>
      </w:r>
      <w:r w:rsidR="006F5BEA">
        <w:rPr>
          <w:rFonts w:ascii="Times New Roman" w:hAnsi="Times New Roman"/>
          <w:b/>
          <w:sz w:val="20"/>
          <w:szCs w:val="20"/>
          <w:lang w:eastAsia="ar-SA"/>
        </w:rPr>
        <w:t>3</w:t>
      </w:r>
      <w:r w:rsidR="00E6262E" w:rsidRPr="00EF6B19">
        <w:rPr>
          <w:rFonts w:ascii="Times New Roman" w:hAnsi="Times New Roman"/>
          <w:b/>
          <w:sz w:val="20"/>
          <w:szCs w:val="20"/>
          <w:lang w:eastAsia="ar-SA"/>
        </w:rPr>
        <w:t>(</w:t>
      </w:r>
      <w:r w:rsidR="007E1228">
        <w:rPr>
          <w:rFonts w:ascii="Times New Roman" w:hAnsi="Times New Roman"/>
          <w:b/>
          <w:sz w:val="20"/>
          <w:szCs w:val="20"/>
          <w:lang w:eastAsia="ar-SA"/>
        </w:rPr>
        <w:t>1</w:t>
      </w:r>
      <w:r w:rsidR="00B86DC0">
        <w:rPr>
          <w:rFonts w:ascii="Times New Roman" w:hAnsi="Times New Roman"/>
          <w:b/>
          <w:sz w:val="20"/>
          <w:szCs w:val="20"/>
          <w:lang w:eastAsia="ar-SA"/>
        </w:rPr>
        <w:t>1</w:t>
      </w:r>
      <w:r w:rsidR="00E6262E" w:rsidRPr="00EF6B19">
        <w:rPr>
          <w:rFonts w:ascii="Times New Roman" w:hAnsi="Times New Roman"/>
          <w:b/>
          <w:sz w:val="20"/>
          <w:szCs w:val="20"/>
          <w:lang w:eastAsia="ar-SA"/>
        </w:rPr>
        <w:t>):</w:t>
      </w:r>
      <w:r w:rsidR="0077607C">
        <w:rPr>
          <w:rFonts w:ascii="Times New Roman" w:hAnsi="Times New Roman"/>
          <w:b/>
          <w:sz w:val="20"/>
          <w:szCs w:val="20"/>
          <w:lang w:eastAsia="ar-SA"/>
        </w:rPr>
        <w:t>51-55.</w:t>
      </w:r>
    </w:p>
    <w:p w14:paraId="70092BB5" w14:textId="77777777" w:rsidR="00DD77C0" w:rsidRPr="00EF6B19" w:rsidRDefault="00DD77C0" w:rsidP="00EF6B19">
      <w:pPr>
        <w:shd w:val="clear" w:color="auto" w:fill="FFFFFF"/>
        <w:tabs>
          <w:tab w:val="left" w:pos="90"/>
        </w:tabs>
        <w:spacing w:before="60" w:after="120" w:line="240" w:lineRule="auto"/>
        <w:jc w:val="both"/>
        <w:rPr>
          <w:rFonts w:ascii="Times New Roman" w:hAnsi="Times New Roman"/>
          <w:b/>
          <w:sz w:val="28"/>
          <w:szCs w:val="20"/>
        </w:rPr>
        <w:sectPr w:rsidR="00DD77C0" w:rsidRPr="00EF6B19" w:rsidSect="00E35BC1">
          <w:headerReference w:type="default" r:id="rId8"/>
          <w:pgSz w:w="12240" w:h="15840"/>
          <w:pgMar w:top="1080" w:right="1440" w:bottom="1440" w:left="1440" w:header="720" w:footer="720" w:gutter="0"/>
          <w:pgNumType w:start="51"/>
          <w:cols w:space="720"/>
          <w:docGrid w:linePitch="360"/>
        </w:sectPr>
      </w:pPr>
    </w:p>
    <w:p w14:paraId="2ADEB12C" w14:textId="77777777" w:rsidR="00822107" w:rsidRPr="00EF6B19" w:rsidRDefault="00822107" w:rsidP="00EF6B19">
      <w:pPr>
        <w:shd w:val="clear" w:color="auto" w:fill="FFFFFF"/>
        <w:tabs>
          <w:tab w:val="left" w:pos="90"/>
        </w:tabs>
        <w:spacing w:before="60" w:after="120" w:line="240" w:lineRule="auto"/>
        <w:jc w:val="both"/>
        <w:rPr>
          <w:rFonts w:ascii="Times New Roman" w:hAnsi="Times New Roman"/>
          <w:b/>
          <w:sz w:val="28"/>
          <w:szCs w:val="20"/>
        </w:rPr>
      </w:pPr>
      <w:r w:rsidRPr="00EF6B19">
        <w:rPr>
          <w:rFonts w:ascii="Times New Roman" w:hAnsi="Times New Roman"/>
          <w:b/>
          <w:sz w:val="28"/>
          <w:szCs w:val="20"/>
        </w:rPr>
        <w:lastRenderedPageBreak/>
        <w:t>INTRODUCTION</w:t>
      </w:r>
    </w:p>
    <w:p w14:paraId="3C3FA68C" w14:textId="52458F95" w:rsidR="00822107" w:rsidRPr="00EF6B19" w:rsidRDefault="00E961DC" w:rsidP="00CA473A">
      <w:pPr>
        <w:spacing w:after="0" w:line="240" w:lineRule="auto"/>
        <w:jc w:val="both"/>
        <w:rPr>
          <w:rFonts w:ascii="Times New Roman" w:hAnsi="Times New Roman"/>
          <w:b/>
          <w:sz w:val="20"/>
          <w:vertAlign w:val="superscript"/>
        </w:rPr>
      </w:pPr>
      <w:r w:rsidRPr="00661B8A">
        <w:rPr>
          <w:rFonts w:ascii="Times New Roman" w:hAnsi="Times New Roman"/>
          <w:color w:val="0E101A"/>
          <w:sz w:val="20"/>
          <w:szCs w:val="20"/>
        </w:rPr>
        <w:t xml:space="preserve">Over the past thirty years, there has been a change in how penetrating colon wounds are managed. Before that, a significant portion of these colonic wounds of the populace was treated with either proximal colostomy or exteriorization of the area out of concern for a high risk of breakdown. </w:t>
      </w:r>
    </w:p>
    <w:p w14:paraId="70E52039"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211222F8"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4FD44C19" w14:textId="5AD57867" w:rsidR="00822107" w:rsidRDefault="00822107"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sidRPr="00EF6B19">
        <w:rPr>
          <w:rFonts w:ascii="Times New Roman" w:eastAsia="Times New Roman" w:hAnsi="Times New Roman" w:cs="Times New Roman"/>
          <w:sz w:val="18"/>
          <w:szCs w:val="24"/>
          <w:vertAlign w:val="superscript"/>
        </w:rPr>
        <w:t>1.</w:t>
      </w:r>
      <w:r w:rsidRPr="00EF6B19">
        <w:rPr>
          <w:rFonts w:ascii="Times New Roman" w:eastAsia="Times New Roman" w:hAnsi="Times New Roman" w:cs="Times New Roman"/>
          <w:sz w:val="18"/>
          <w:szCs w:val="24"/>
        </w:rPr>
        <w:t xml:space="preserve"> Department of </w:t>
      </w:r>
      <w:r w:rsidR="00D75D4D" w:rsidRPr="00277BF6">
        <w:rPr>
          <w:rFonts w:ascii="Times New Roman" w:eastAsia="Times New Roman" w:hAnsi="Times New Roman" w:cs="Times New Roman"/>
          <w:sz w:val="18"/>
          <w:szCs w:val="24"/>
        </w:rPr>
        <w:t>Surgery, THQ Besham, Shangla</w:t>
      </w:r>
      <w:r w:rsidR="00277BF6" w:rsidRPr="00277BF6">
        <w:rPr>
          <w:rFonts w:ascii="Times New Roman" w:eastAsia="Times New Roman" w:hAnsi="Times New Roman" w:cs="Times New Roman"/>
          <w:sz w:val="18"/>
          <w:szCs w:val="24"/>
        </w:rPr>
        <w:t>.</w:t>
      </w:r>
    </w:p>
    <w:p w14:paraId="7174994C" w14:textId="7D7A5A33" w:rsidR="00E46EE4" w:rsidRPr="003C2C05" w:rsidRDefault="006747B8"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Pr>
          <w:rFonts w:ascii="Times New Roman" w:eastAsia="Times New Roman" w:hAnsi="Times New Roman" w:cs="Times New Roman"/>
          <w:sz w:val="18"/>
          <w:szCs w:val="24"/>
          <w:vertAlign w:val="superscript"/>
          <w:lang w:val="en-US"/>
        </w:rPr>
        <w:t>2</w:t>
      </w:r>
      <w:r w:rsidR="00DE0B24" w:rsidRPr="00EF6B19">
        <w:rPr>
          <w:rFonts w:ascii="Times New Roman" w:eastAsia="Times New Roman" w:hAnsi="Times New Roman" w:cs="Times New Roman"/>
          <w:sz w:val="18"/>
          <w:szCs w:val="24"/>
          <w:vertAlign w:val="superscript"/>
        </w:rPr>
        <w:t>.</w:t>
      </w:r>
      <w:r w:rsidR="00DE0B24" w:rsidRPr="00EF6B19">
        <w:rPr>
          <w:rFonts w:ascii="Times New Roman" w:eastAsia="Times New Roman" w:hAnsi="Times New Roman" w:cs="Times New Roman"/>
          <w:sz w:val="18"/>
          <w:szCs w:val="24"/>
        </w:rPr>
        <w:t xml:space="preserve"> Department of </w:t>
      </w:r>
      <w:r w:rsidR="00DE0B24" w:rsidRPr="00277BF6">
        <w:rPr>
          <w:rFonts w:ascii="Times New Roman" w:eastAsia="Times New Roman" w:hAnsi="Times New Roman" w:cs="Times New Roman"/>
          <w:sz w:val="18"/>
          <w:szCs w:val="24"/>
        </w:rPr>
        <w:t>Surgery,</w:t>
      </w:r>
      <w:r w:rsidR="00C61B25" w:rsidRPr="00B444CE">
        <w:rPr>
          <w:rFonts w:ascii="Times New Roman" w:eastAsia="Times New Roman" w:hAnsi="Times New Roman" w:cs="Times New Roman"/>
          <w:sz w:val="18"/>
          <w:szCs w:val="24"/>
        </w:rPr>
        <w:t xml:space="preserve"> RHC Shinkiari, Mansehra</w:t>
      </w:r>
      <w:r w:rsidR="003C2C05">
        <w:rPr>
          <w:rFonts w:ascii="Times New Roman" w:eastAsia="Times New Roman" w:hAnsi="Times New Roman" w:cs="Times New Roman"/>
          <w:sz w:val="18"/>
          <w:szCs w:val="24"/>
          <w:lang w:val="en-US"/>
        </w:rPr>
        <w:t>.</w:t>
      </w:r>
    </w:p>
    <w:p w14:paraId="5D02064B" w14:textId="527BDABA" w:rsidR="001F6553" w:rsidRPr="00526226" w:rsidRDefault="006747B8" w:rsidP="00526226">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Pr>
          <w:rFonts w:ascii="Times New Roman" w:eastAsia="Times New Roman" w:hAnsi="Times New Roman" w:cs="Times New Roman"/>
          <w:sz w:val="18"/>
          <w:szCs w:val="24"/>
          <w:vertAlign w:val="superscript"/>
          <w:lang w:val="en-US"/>
        </w:rPr>
        <w:t>3</w:t>
      </w:r>
      <w:r w:rsidR="001F6553" w:rsidRPr="00EF6B19">
        <w:rPr>
          <w:rFonts w:ascii="Times New Roman" w:eastAsia="Times New Roman" w:hAnsi="Times New Roman" w:cs="Times New Roman"/>
          <w:sz w:val="18"/>
          <w:szCs w:val="24"/>
          <w:vertAlign w:val="superscript"/>
        </w:rPr>
        <w:t>.</w:t>
      </w:r>
      <w:r w:rsidR="001F6553" w:rsidRPr="00EF6B19">
        <w:rPr>
          <w:rFonts w:ascii="Times New Roman" w:eastAsia="Times New Roman" w:hAnsi="Times New Roman" w:cs="Times New Roman"/>
          <w:sz w:val="18"/>
          <w:szCs w:val="24"/>
        </w:rPr>
        <w:t xml:space="preserve"> Department of </w:t>
      </w:r>
      <w:r w:rsidR="001F6553" w:rsidRPr="00277BF6">
        <w:rPr>
          <w:rFonts w:ascii="Times New Roman" w:eastAsia="Times New Roman" w:hAnsi="Times New Roman" w:cs="Times New Roman"/>
          <w:sz w:val="18"/>
          <w:szCs w:val="24"/>
        </w:rPr>
        <w:t>Surgery,</w:t>
      </w:r>
      <w:r w:rsidR="0084597B" w:rsidRPr="006B2D8B">
        <w:rPr>
          <w:rFonts w:ascii="Times New Roman" w:eastAsia="Times New Roman" w:hAnsi="Times New Roman" w:cs="Times New Roman"/>
          <w:sz w:val="18"/>
          <w:szCs w:val="24"/>
        </w:rPr>
        <w:t xml:space="preserve"> Shahina Jamil Hospital,Abbottabad</w:t>
      </w:r>
      <w:r w:rsidR="00526226">
        <w:rPr>
          <w:rFonts w:ascii="Times New Roman" w:eastAsia="Times New Roman" w:hAnsi="Times New Roman" w:cs="Times New Roman"/>
          <w:sz w:val="18"/>
          <w:szCs w:val="24"/>
          <w:lang w:val="en-US"/>
        </w:rPr>
        <w:t>.</w:t>
      </w:r>
    </w:p>
    <w:p w14:paraId="0D35D769" w14:textId="4D8D75B9" w:rsidR="002A27B9" w:rsidRPr="00AA3843" w:rsidRDefault="006747B8" w:rsidP="00952C17">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Pr>
          <w:rFonts w:ascii="Times New Roman" w:eastAsia="Times New Roman" w:hAnsi="Times New Roman" w:cs="Times New Roman"/>
          <w:sz w:val="18"/>
          <w:szCs w:val="24"/>
          <w:vertAlign w:val="superscript"/>
          <w:lang w:val="en-US"/>
        </w:rPr>
        <w:t>4</w:t>
      </w:r>
      <w:r w:rsidR="002A27B9" w:rsidRPr="00EF6B19">
        <w:rPr>
          <w:rFonts w:ascii="Times New Roman" w:eastAsia="Times New Roman" w:hAnsi="Times New Roman" w:cs="Times New Roman"/>
          <w:sz w:val="18"/>
          <w:szCs w:val="24"/>
          <w:vertAlign w:val="superscript"/>
        </w:rPr>
        <w:t>.</w:t>
      </w:r>
      <w:r w:rsidR="002A27B9" w:rsidRPr="00EF6B19">
        <w:rPr>
          <w:rFonts w:ascii="Times New Roman" w:eastAsia="Times New Roman" w:hAnsi="Times New Roman" w:cs="Times New Roman"/>
          <w:sz w:val="18"/>
          <w:szCs w:val="24"/>
        </w:rPr>
        <w:t xml:space="preserve"> Department of </w:t>
      </w:r>
      <w:r w:rsidR="002A27B9" w:rsidRPr="00277BF6">
        <w:rPr>
          <w:rFonts w:ascii="Times New Roman" w:eastAsia="Times New Roman" w:hAnsi="Times New Roman" w:cs="Times New Roman"/>
          <w:sz w:val="18"/>
          <w:szCs w:val="24"/>
        </w:rPr>
        <w:t>Surgery,</w:t>
      </w:r>
      <w:r w:rsidR="009B531A" w:rsidRPr="00E1596F">
        <w:rPr>
          <w:rFonts w:ascii="Times New Roman" w:eastAsia="Times New Roman" w:hAnsi="Times New Roman" w:cs="Times New Roman"/>
          <w:sz w:val="18"/>
          <w:szCs w:val="24"/>
        </w:rPr>
        <w:t xml:space="preserve"> </w:t>
      </w:r>
      <w:r w:rsidR="00952C17">
        <w:rPr>
          <w:rFonts w:ascii="Times New Roman" w:eastAsia="Times New Roman" w:hAnsi="Times New Roman" w:cs="Times New Roman"/>
          <w:sz w:val="18"/>
          <w:szCs w:val="24"/>
          <w:lang w:val="en-US"/>
        </w:rPr>
        <w:t>WM&amp;DC</w:t>
      </w:r>
      <w:r w:rsidR="009B531A" w:rsidRPr="00E1596F">
        <w:rPr>
          <w:rFonts w:ascii="Times New Roman" w:eastAsia="Times New Roman" w:hAnsi="Times New Roman" w:cs="Times New Roman"/>
          <w:sz w:val="18"/>
          <w:szCs w:val="24"/>
        </w:rPr>
        <w:t>, Abbottabad</w:t>
      </w:r>
      <w:r w:rsidR="00AA3843">
        <w:rPr>
          <w:rFonts w:ascii="Times New Roman" w:eastAsia="Times New Roman" w:hAnsi="Times New Roman" w:cs="Times New Roman"/>
          <w:sz w:val="18"/>
          <w:szCs w:val="24"/>
          <w:lang w:val="en-US"/>
        </w:rPr>
        <w:t>.</w:t>
      </w:r>
    </w:p>
    <w:p w14:paraId="09388D78" w14:textId="179F9E59" w:rsidR="008810D6" w:rsidRPr="00444746" w:rsidRDefault="006747B8"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Pr>
          <w:rFonts w:ascii="Times New Roman" w:eastAsia="Times New Roman" w:hAnsi="Times New Roman" w:cs="Times New Roman"/>
          <w:sz w:val="18"/>
          <w:szCs w:val="24"/>
          <w:vertAlign w:val="superscript"/>
          <w:lang w:val="en-US"/>
        </w:rPr>
        <w:t>5</w:t>
      </w:r>
      <w:r w:rsidR="008810D6" w:rsidRPr="00EF6B19">
        <w:rPr>
          <w:rFonts w:ascii="Times New Roman" w:eastAsia="Times New Roman" w:hAnsi="Times New Roman" w:cs="Times New Roman"/>
          <w:sz w:val="18"/>
          <w:szCs w:val="24"/>
          <w:vertAlign w:val="superscript"/>
        </w:rPr>
        <w:t>.</w:t>
      </w:r>
      <w:r w:rsidR="008810D6" w:rsidRPr="00EF6B19">
        <w:rPr>
          <w:rFonts w:ascii="Times New Roman" w:eastAsia="Times New Roman" w:hAnsi="Times New Roman" w:cs="Times New Roman"/>
          <w:sz w:val="18"/>
          <w:szCs w:val="24"/>
        </w:rPr>
        <w:t xml:space="preserve"> Department of </w:t>
      </w:r>
      <w:r w:rsidR="008810D6" w:rsidRPr="00277BF6">
        <w:rPr>
          <w:rFonts w:ascii="Times New Roman" w:eastAsia="Times New Roman" w:hAnsi="Times New Roman" w:cs="Times New Roman"/>
          <w:sz w:val="18"/>
          <w:szCs w:val="24"/>
        </w:rPr>
        <w:t>Surgery,</w:t>
      </w:r>
      <w:r w:rsidR="00721D5B" w:rsidRPr="00B42525">
        <w:rPr>
          <w:rFonts w:ascii="Times New Roman" w:eastAsia="Times New Roman" w:hAnsi="Times New Roman" w:cs="Times New Roman"/>
          <w:sz w:val="18"/>
          <w:szCs w:val="24"/>
        </w:rPr>
        <w:t xml:space="preserve"> Abbottabad International Medical Institute, Abbottabad</w:t>
      </w:r>
      <w:r w:rsidR="00444746">
        <w:rPr>
          <w:rFonts w:ascii="Times New Roman" w:eastAsia="Times New Roman" w:hAnsi="Times New Roman" w:cs="Times New Roman"/>
          <w:sz w:val="18"/>
          <w:szCs w:val="24"/>
          <w:lang w:val="en-US"/>
        </w:rPr>
        <w:t>.</w:t>
      </w:r>
    </w:p>
    <w:p w14:paraId="059D1AAA" w14:textId="59E059BE" w:rsidR="00857392" w:rsidRPr="00973B8A" w:rsidRDefault="006747B8" w:rsidP="00EF6B19">
      <w:pPr>
        <w:pStyle w:val="ListParagraph"/>
        <w:shd w:val="clear" w:color="auto" w:fill="FFFFFF"/>
        <w:spacing w:after="0" w:line="240" w:lineRule="auto"/>
        <w:ind w:left="0"/>
        <w:contextualSpacing w:val="0"/>
        <w:jc w:val="both"/>
        <w:rPr>
          <w:rFonts w:ascii="Times New Roman" w:hAnsi="Times New Roman" w:cs="Times New Roman"/>
          <w:sz w:val="18"/>
          <w:szCs w:val="18"/>
          <w:lang w:val="en-US"/>
        </w:rPr>
      </w:pPr>
      <w:r>
        <w:rPr>
          <w:rFonts w:ascii="Times New Roman" w:eastAsia="Times New Roman" w:hAnsi="Times New Roman" w:cs="Times New Roman"/>
          <w:sz w:val="18"/>
          <w:szCs w:val="24"/>
          <w:vertAlign w:val="superscript"/>
          <w:lang w:val="en-US"/>
        </w:rPr>
        <w:t>6</w:t>
      </w:r>
      <w:r w:rsidR="00857392" w:rsidRPr="00EF6B19">
        <w:rPr>
          <w:rFonts w:ascii="Times New Roman" w:eastAsia="Times New Roman" w:hAnsi="Times New Roman" w:cs="Times New Roman"/>
          <w:sz w:val="18"/>
          <w:szCs w:val="24"/>
          <w:vertAlign w:val="superscript"/>
        </w:rPr>
        <w:t>.</w:t>
      </w:r>
      <w:r w:rsidR="00857392" w:rsidRPr="00EF6B19">
        <w:rPr>
          <w:rFonts w:ascii="Times New Roman" w:eastAsia="Times New Roman" w:hAnsi="Times New Roman" w:cs="Times New Roman"/>
          <w:sz w:val="18"/>
          <w:szCs w:val="24"/>
        </w:rPr>
        <w:t xml:space="preserve"> Department of </w:t>
      </w:r>
      <w:r w:rsidR="00857392" w:rsidRPr="00277BF6">
        <w:rPr>
          <w:rFonts w:ascii="Times New Roman" w:eastAsia="Times New Roman" w:hAnsi="Times New Roman" w:cs="Times New Roman"/>
          <w:sz w:val="18"/>
          <w:szCs w:val="24"/>
        </w:rPr>
        <w:t>Surgery,</w:t>
      </w:r>
      <w:r w:rsidR="008F0A20" w:rsidRPr="00921D73">
        <w:rPr>
          <w:rFonts w:ascii="Times New Roman" w:eastAsia="Times New Roman" w:hAnsi="Times New Roman" w:cs="Times New Roman"/>
          <w:sz w:val="18"/>
          <w:szCs w:val="24"/>
        </w:rPr>
        <w:t xml:space="preserve"> General and Mental Hospital, Dadar, Mansehra</w:t>
      </w:r>
      <w:r w:rsidR="00973B8A">
        <w:rPr>
          <w:rFonts w:ascii="Times New Roman" w:eastAsia="Times New Roman" w:hAnsi="Times New Roman" w:cs="Times New Roman"/>
          <w:sz w:val="18"/>
          <w:szCs w:val="24"/>
          <w:lang w:val="en-US"/>
        </w:rPr>
        <w:t>.</w:t>
      </w:r>
    </w:p>
    <w:p w14:paraId="1E784A47"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b/>
          <w:sz w:val="6"/>
          <w:szCs w:val="6"/>
        </w:rPr>
      </w:pPr>
    </w:p>
    <w:p w14:paraId="07C64E8D"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5DC03902" w14:textId="756D7EAA" w:rsidR="00822107" w:rsidRPr="00877901" w:rsidRDefault="00822107"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sidRPr="00EF6B19">
        <w:rPr>
          <w:rFonts w:ascii="Times New Roman" w:eastAsia="Times New Roman" w:hAnsi="Times New Roman" w:cs="Times New Roman"/>
          <w:sz w:val="18"/>
          <w:szCs w:val="24"/>
        </w:rPr>
        <w:t xml:space="preserve">Correspondence: </w:t>
      </w:r>
      <w:r w:rsidR="005929BF" w:rsidRPr="003F1D9A">
        <w:rPr>
          <w:rFonts w:ascii="Times New Roman" w:eastAsia="Times New Roman" w:hAnsi="Times New Roman" w:cs="Times New Roman"/>
          <w:sz w:val="18"/>
          <w:szCs w:val="24"/>
        </w:rPr>
        <w:t>Dr. Ajmal Khan,  General Surgeon, Surgery Department, THQ Besham, Shangla</w:t>
      </w:r>
      <w:r w:rsidR="00877901">
        <w:rPr>
          <w:rFonts w:ascii="Times New Roman" w:eastAsia="Times New Roman" w:hAnsi="Times New Roman" w:cs="Times New Roman"/>
          <w:sz w:val="18"/>
          <w:szCs w:val="24"/>
          <w:lang w:val="en-US"/>
        </w:rPr>
        <w:t>.</w:t>
      </w:r>
    </w:p>
    <w:p w14:paraId="72523B88" w14:textId="46B4C9B7" w:rsidR="00822107" w:rsidRPr="000F5F21" w:rsidRDefault="00822107" w:rsidP="00F15A4C">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rPr>
      </w:pPr>
      <w:r w:rsidRPr="000F5F21">
        <w:rPr>
          <w:rFonts w:ascii="Times New Roman" w:eastAsia="Times New Roman" w:hAnsi="Times New Roman" w:cs="Times New Roman"/>
          <w:sz w:val="18"/>
          <w:szCs w:val="24"/>
        </w:rPr>
        <w:t xml:space="preserve">Contact No: </w:t>
      </w:r>
      <w:r w:rsidR="00F15A4C">
        <w:rPr>
          <w:rFonts w:ascii="Times New Roman" w:eastAsia="Times New Roman" w:hAnsi="Times New Roman" w:cs="Times New Roman"/>
          <w:sz w:val="18"/>
          <w:szCs w:val="24"/>
          <w:lang w:val="en-US"/>
        </w:rPr>
        <w:t>0</w:t>
      </w:r>
      <w:r w:rsidR="008C2762" w:rsidRPr="000F5F21">
        <w:rPr>
          <w:rFonts w:ascii="Times New Roman" w:eastAsia="Times New Roman" w:hAnsi="Times New Roman" w:cs="Times New Roman"/>
          <w:sz w:val="18"/>
          <w:szCs w:val="24"/>
        </w:rPr>
        <w:t>344</w:t>
      </w:r>
      <w:r w:rsidR="00F15A4C">
        <w:rPr>
          <w:rFonts w:ascii="Times New Roman" w:eastAsia="Times New Roman" w:hAnsi="Times New Roman" w:cs="Times New Roman"/>
          <w:sz w:val="18"/>
          <w:szCs w:val="24"/>
          <w:lang w:val="en-US"/>
        </w:rPr>
        <w:t>-</w:t>
      </w:r>
      <w:r w:rsidR="008C2762" w:rsidRPr="000F5F21">
        <w:rPr>
          <w:rFonts w:ascii="Times New Roman" w:eastAsia="Times New Roman" w:hAnsi="Times New Roman" w:cs="Times New Roman"/>
          <w:sz w:val="18"/>
          <w:szCs w:val="24"/>
        </w:rPr>
        <w:t>9637401</w:t>
      </w:r>
    </w:p>
    <w:p w14:paraId="57C2BFD3" w14:textId="37B1CD7A" w:rsidR="00822107" w:rsidRPr="00EF6B19" w:rsidRDefault="00822107" w:rsidP="00EF6B19">
      <w:pPr>
        <w:pStyle w:val="ListParagraph"/>
        <w:shd w:val="clear" w:color="auto" w:fill="FFFFFF"/>
        <w:spacing w:after="0" w:line="240" w:lineRule="auto"/>
        <w:ind w:left="0"/>
        <w:contextualSpacing w:val="0"/>
        <w:jc w:val="both"/>
        <w:rPr>
          <w:rFonts w:ascii="Times New Roman" w:hAnsi="Times New Roman" w:cs="Times New Roman"/>
          <w:sz w:val="18"/>
          <w:szCs w:val="18"/>
        </w:rPr>
      </w:pPr>
      <w:r w:rsidRPr="000F5F21">
        <w:rPr>
          <w:rFonts w:ascii="Times New Roman" w:eastAsia="Times New Roman" w:hAnsi="Times New Roman" w:cs="Times New Roman"/>
          <w:sz w:val="18"/>
          <w:szCs w:val="24"/>
        </w:rPr>
        <w:t xml:space="preserve">Email: </w:t>
      </w:r>
      <w:hyperlink r:id="rId9" w:history="1">
        <w:r w:rsidR="001A6505" w:rsidRPr="000F5F21">
          <w:rPr>
            <w:rFonts w:ascii="Times New Roman" w:eastAsia="Times New Roman" w:hAnsi="Times New Roman" w:cs="Times New Roman"/>
            <w:sz w:val="18"/>
            <w:szCs w:val="24"/>
          </w:rPr>
          <w:t>drajmalamc@yahoo.com</w:t>
        </w:r>
      </w:hyperlink>
    </w:p>
    <w:p w14:paraId="6545DF63"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b/>
          <w:sz w:val="6"/>
          <w:szCs w:val="6"/>
        </w:rPr>
      </w:pPr>
    </w:p>
    <w:p w14:paraId="4497BBB8" w14:textId="77777777" w:rsidR="008D2878" w:rsidRPr="00B7662F" w:rsidRDefault="008D2878" w:rsidP="008D2878">
      <w:pPr>
        <w:shd w:val="clear" w:color="auto" w:fill="FFFFFF"/>
        <w:spacing w:after="0" w:line="240" w:lineRule="auto"/>
        <w:jc w:val="both"/>
        <w:rPr>
          <w:rFonts w:ascii="Times New Roman" w:hAnsi="Times New Roman"/>
          <w:b/>
          <w:sz w:val="6"/>
          <w:szCs w:val="6"/>
        </w:rPr>
      </w:pPr>
    </w:p>
    <w:p w14:paraId="0C096B1F" w14:textId="3B35BC2F" w:rsidR="008D2878" w:rsidRDefault="008D2878" w:rsidP="004007F5">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Received</w:t>
      </w:r>
      <w:r>
        <w:rPr>
          <w:rFonts w:ascii="Times New Roman" w:hAnsi="Times New Roman"/>
          <w:sz w:val="18"/>
          <w:szCs w:val="18"/>
          <w:lang w:eastAsia="en-AU"/>
        </w:rPr>
        <w:t>:</w:t>
      </w:r>
      <w:r>
        <w:rPr>
          <w:rFonts w:ascii="Times New Roman" w:hAnsi="Times New Roman"/>
          <w:sz w:val="18"/>
          <w:szCs w:val="18"/>
          <w:lang w:eastAsia="en-AU"/>
        </w:rPr>
        <w:tab/>
      </w:r>
      <w:r w:rsidR="004007F5">
        <w:rPr>
          <w:rFonts w:ascii="Times New Roman" w:hAnsi="Times New Roman"/>
          <w:sz w:val="18"/>
          <w:szCs w:val="18"/>
          <w:lang w:eastAsia="en-AU"/>
        </w:rPr>
        <w:t>July</w:t>
      </w:r>
      <w:r w:rsidR="00503BA2" w:rsidRPr="00B7662F">
        <w:rPr>
          <w:rFonts w:ascii="Times New Roman" w:hAnsi="Times New Roman"/>
          <w:sz w:val="18"/>
          <w:szCs w:val="18"/>
          <w:lang w:eastAsia="en-AU"/>
        </w:rPr>
        <w:t xml:space="preserve">, </w:t>
      </w:r>
      <w:r w:rsidR="00503BA2">
        <w:rPr>
          <w:rFonts w:ascii="Times New Roman" w:hAnsi="Times New Roman"/>
          <w:sz w:val="18"/>
          <w:szCs w:val="18"/>
          <w:lang w:eastAsia="en-AU"/>
        </w:rPr>
        <w:t>2022</w:t>
      </w:r>
    </w:p>
    <w:p w14:paraId="605F3F9A" w14:textId="373BE425" w:rsidR="008D2878" w:rsidRDefault="008D2878" w:rsidP="00CC6EA3">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Accepted:</w:t>
      </w:r>
      <w:r>
        <w:rPr>
          <w:rFonts w:ascii="Times New Roman" w:hAnsi="Times New Roman"/>
          <w:sz w:val="18"/>
          <w:szCs w:val="18"/>
          <w:lang w:eastAsia="en-AU"/>
        </w:rPr>
        <w:tab/>
      </w:r>
      <w:r w:rsidR="00CC6EA3">
        <w:rPr>
          <w:rFonts w:ascii="Times New Roman" w:hAnsi="Times New Roman"/>
          <w:sz w:val="18"/>
          <w:szCs w:val="18"/>
          <w:lang w:eastAsia="en-AU"/>
        </w:rPr>
        <w:t>August</w:t>
      </w:r>
      <w:r w:rsidR="0084319F">
        <w:rPr>
          <w:rFonts w:ascii="Times New Roman" w:hAnsi="Times New Roman"/>
          <w:sz w:val="18"/>
          <w:szCs w:val="18"/>
          <w:lang w:eastAsia="en-AU"/>
        </w:rPr>
        <w:t xml:space="preserve">, </w:t>
      </w:r>
      <w:r w:rsidR="00364AC3">
        <w:rPr>
          <w:rFonts w:ascii="Times New Roman" w:hAnsi="Times New Roman"/>
          <w:sz w:val="18"/>
          <w:szCs w:val="18"/>
          <w:lang w:eastAsia="en-AU"/>
        </w:rPr>
        <w:t>202</w:t>
      </w:r>
      <w:r w:rsidR="0027160B">
        <w:rPr>
          <w:rFonts w:ascii="Times New Roman" w:hAnsi="Times New Roman"/>
          <w:sz w:val="18"/>
          <w:szCs w:val="18"/>
          <w:lang w:eastAsia="en-AU"/>
        </w:rPr>
        <w:t>2</w:t>
      </w:r>
    </w:p>
    <w:p w14:paraId="4117F1C1" w14:textId="2D2D0A7E" w:rsidR="008D2878" w:rsidRDefault="008D2878" w:rsidP="00B96BF4">
      <w:pPr>
        <w:shd w:val="clear" w:color="auto" w:fill="FFFFFF"/>
        <w:tabs>
          <w:tab w:val="left" w:pos="1170"/>
        </w:tabs>
        <w:spacing w:after="0" w:line="240" w:lineRule="auto"/>
        <w:jc w:val="both"/>
        <w:rPr>
          <w:rFonts w:ascii="Times New Roman" w:hAnsi="Times New Roman"/>
          <w:sz w:val="18"/>
          <w:szCs w:val="18"/>
          <w:lang w:eastAsia="en-AU"/>
        </w:rPr>
      </w:pPr>
      <w:r>
        <w:rPr>
          <w:rFonts w:ascii="Times New Roman" w:hAnsi="Times New Roman"/>
          <w:sz w:val="18"/>
          <w:szCs w:val="18"/>
          <w:lang w:eastAsia="en-AU"/>
        </w:rPr>
        <w:t>Printed:</w:t>
      </w:r>
      <w:r>
        <w:rPr>
          <w:rFonts w:ascii="Times New Roman" w:hAnsi="Times New Roman"/>
          <w:sz w:val="18"/>
          <w:szCs w:val="18"/>
          <w:lang w:eastAsia="en-AU"/>
        </w:rPr>
        <w:tab/>
      </w:r>
      <w:r w:rsidR="00B96BF4">
        <w:rPr>
          <w:rFonts w:ascii="Times New Roman" w:hAnsi="Times New Roman"/>
          <w:sz w:val="18"/>
          <w:szCs w:val="18"/>
          <w:lang w:eastAsia="en-AU"/>
        </w:rPr>
        <w:t>November</w:t>
      </w:r>
      <w:r w:rsidR="002A7490">
        <w:rPr>
          <w:rFonts w:ascii="Times New Roman" w:hAnsi="Times New Roman"/>
          <w:sz w:val="18"/>
          <w:szCs w:val="18"/>
          <w:lang w:eastAsia="en-AU"/>
        </w:rPr>
        <w:t>,</w:t>
      </w:r>
      <w:r>
        <w:rPr>
          <w:rFonts w:ascii="Times New Roman" w:hAnsi="Times New Roman"/>
          <w:sz w:val="18"/>
          <w:szCs w:val="18"/>
          <w:lang w:eastAsia="en-AU"/>
        </w:rPr>
        <w:t xml:space="preserve"> 20</w:t>
      </w:r>
      <w:r w:rsidR="00596901">
        <w:rPr>
          <w:rFonts w:ascii="Times New Roman" w:hAnsi="Times New Roman"/>
          <w:sz w:val="18"/>
          <w:szCs w:val="18"/>
          <w:lang w:eastAsia="en-AU"/>
        </w:rPr>
        <w:t>2</w:t>
      </w:r>
      <w:r w:rsidR="00E559E2">
        <w:rPr>
          <w:rFonts w:ascii="Times New Roman" w:hAnsi="Times New Roman"/>
          <w:sz w:val="18"/>
          <w:szCs w:val="18"/>
          <w:lang w:eastAsia="en-AU"/>
        </w:rPr>
        <w:t>2</w:t>
      </w:r>
    </w:p>
    <w:p w14:paraId="4EA247CA"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42A8DF95" w14:textId="77777777" w:rsidR="008D2878" w:rsidRDefault="008D2878" w:rsidP="008D2878">
      <w:pPr>
        <w:shd w:val="clear" w:color="auto" w:fill="FFFFFF"/>
        <w:spacing w:after="0" w:line="240" w:lineRule="auto"/>
        <w:jc w:val="both"/>
        <w:rPr>
          <w:rFonts w:ascii="Times New Roman" w:hAnsi="Times New Roman"/>
          <w:b/>
          <w:sz w:val="6"/>
          <w:szCs w:val="6"/>
        </w:rPr>
      </w:pPr>
    </w:p>
    <w:p w14:paraId="638B0C71" w14:textId="77777777" w:rsidR="0030555F" w:rsidRDefault="0030555F" w:rsidP="00154CE9">
      <w:pPr>
        <w:spacing w:after="0" w:line="240" w:lineRule="auto"/>
        <w:jc w:val="both"/>
        <w:rPr>
          <w:rFonts w:ascii="Times New Roman" w:hAnsi="Times New Roman"/>
          <w:color w:val="0E101A"/>
          <w:sz w:val="20"/>
          <w:szCs w:val="20"/>
        </w:rPr>
      </w:pPr>
    </w:p>
    <w:p w14:paraId="499F0485" w14:textId="77777777" w:rsidR="00154CE9" w:rsidRPr="00661B8A" w:rsidRDefault="00154CE9" w:rsidP="00154CE9">
      <w:pPr>
        <w:spacing w:after="0" w:line="240" w:lineRule="auto"/>
        <w:jc w:val="both"/>
        <w:rPr>
          <w:rFonts w:ascii="Times New Roman" w:hAnsi="Times New Roman"/>
          <w:color w:val="0E101A"/>
          <w:sz w:val="20"/>
          <w:szCs w:val="20"/>
        </w:rPr>
      </w:pPr>
      <w:r w:rsidRPr="00661B8A">
        <w:rPr>
          <w:rFonts w:ascii="Times New Roman" w:hAnsi="Times New Roman"/>
          <w:color w:val="0E101A"/>
          <w:sz w:val="20"/>
          <w:szCs w:val="20"/>
        </w:rPr>
        <w:lastRenderedPageBreak/>
        <w:t>There has been a growing tendency for primary repair during the past 20 years.</w:t>
      </w:r>
      <w:r w:rsidRPr="00661B8A">
        <w:rPr>
          <w:rFonts w:ascii="Times New Roman" w:hAnsi="Times New Roman"/>
          <w:color w:val="0E101A"/>
          <w:sz w:val="20"/>
          <w:szCs w:val="20"/>
          <w:vertAlign w:val="superscript"/>
        </w:rPr>
        <w:t>1</w:t>
      </w:r>
      <w:r w:rsidRPr="00661B8A">
        <w:rPr>
          <w:rFonts w:ascii="Times New Roman" w:hAnsi="Times New Roman"/>
          <w:color w:val="0E101A"/>
          <w:sz w:val="20"/>
          <w:szCs w:val="20"/>
        </w:rPr>
        <w:t xml:space="preserve"> The prevention of a colostomy, the subsequent decrease in its morbidity, the expenditure of colostomy aftercare, and the last hospitalization for closures are benefits of primary repair. The death rate and morbidity linked to repairing failure are potential downsides of primary repair.</w:t>
      </w:r>
      <w:r w:rsidRPr="00661B8A">
        <w:rPr>
          <w:rFonts w:ascii="Times New Roman" w:hAnsi="Times New Roman"/>
          <w:color w:val="0E101A"/>
          <w:sz w:val="20"/>
          <w:szCs w:val="20"/>
          <w:vertAlign w:val="superscript"/>
        </w:rPr>
        <w:t>2</w:t>
      </w:r>
      <w:r w:rsidRPr="00661B8A">
        <w:rPr>
          <w:rFonts w:ascii="Times New Roman" w:hAnsi="Times New Roman"/>
          <w:color w:val="0E101A"/>
          <w:sz w:val="20"/>
          <w:szCs w:val="20"/>
        </w:rPr>
        <w:t xml:space="preserve"> Even though an advanced surgeon has much greater success doing an intestinal anastomosis than a surgeon from a generation ago, the outcomes have not always been flawless.</w:t>
      </w:r>
      <w:r w:rsidRPr="00661B8A">
        <w:rPr>
          <w:rFonts w:ascii="Times New Roman" w:hAnsi="Times New Roman"/>
          <w:color w:val="0E101A"/>
          <w:sz w:val="20"/>
          <w:szCs w:val="20"/>
          <w:vertAlign w:val="superscript"/>
        </w:rPr>
        <w:t>3</w:t>
      </w:r>
    </w:p>
    <w:p w14:paraId="747D44FE" w14:textId="77777777" w:rsidR="00154CE9" w:rsidRPr="00661B8A" w:rsidRDefault="00154CE9" w:rsidP="00154CE9">
      <w:pPr>
        <w:spacing w:after="0" w:line="240" w:lineRule="auto"/>
        <w:jc w:val="both"/>
        <w:rPr>
          <w:rFonts w:ascii="Times New Roman" w:hAnsi="Times New Roman"/>
          <w:color w:val="0E101A"/>
          <w:sz w:val="20"/>
          <w:szCs w:val="20"/>
        </w:rPr>
      </w:pPr>
      <w:r w:rsidRPr="00661B8A">
        <w:rPr>
          <w:rFonts w:ascii="Times New Roman" w:hAnsi="Times New Roman"/>
          <w:color w:val="0E101A"/>
          <w:sz w:val="20"/>
          <w:szCs w:val="20"/>
        </w:rPr>
        <w:t>Research shows that executing delayed anastomosis (DA) in people getting damage control laparotomy (DCL) for destructive colonic injuries is safe and practicable. There are still concerns about pinpointing individuals with higher risk and reducing the frequency of anastomosis-related problems, despite the fact that primary colonic anastomosis has proved viable in trauma patients. Additionally, around 13% of individuals with primary anastomosis experienced an anastomotic leak.</w:t>
      </w:r>
      <w:r w:rsidRPr="00661B8A">
        <w:rPr>
          <w:rFonts w:ascii="Times New Roman" w:hAnsi="Times New Roman"/>
          <w:color w:val="0E101A"/>
          <w:sz w:val="20"/>
          <w:szCs w:val="20"/>
          <w:vertAlign w:val="superscript"/>
        </w:rPr>
        <w:t>3,4</w:t>
      </w:r>
      <w:r w:rsidRPr="00661B8A">
        <w:rPr>
          <w:rFonts w:ascii="Times New Roman" w:hAnsi="Times New Roman"/>
          <w:color w:val="0E101A"/>
          <w:sz w:val="20"/>
          <w:szCs w:val="20"/>
        </w:rPr>
        <w:t xml:space="preserve"> Recognizing avoidable factors that increase the risk for suture line failure following colon anastomosis is crucial for maximizing anastomotic healing.</w:t>
      </w:r>
    </w:p>
    <w:p w14:paraId="33DB06E0" w14:textId="77777777" w:rsidR="00CF3793" w:rsidRDefault="00CF3793" w:rsidP="00154CE9">
      <w:pPr>
        <w:spacing w:after="0" w:line="240" w:lineRule="auto"/>
        <w:jc w:val="both"/>
        <w:rPr>
          <w:rFonts w:ascii="Times New Roman" w:hAnsi="Times New Roman"/>
          <w:color w:val="0E101A"/>
          <w:sz w:val="20"/>
          <w:szCs w:val="20"/>
        </w:rPr>
      </w:pPr>
    </w:p>
    <w:p w14:paraId="04CCCCF2" w14:textId="77777777" w:rsidR="00154CE9" w:rsidRPr="00661B8A" w:rsidRDefault="00154CE9" w:rsidP="00154CE9">
      <w:pPr>
        <w:spacing w:after="0" w:line="240" w:lineRule="auto"/>
        <w:jc w:val="both"/>
        <w:rPr>
          <w:rFonts w:ascii="Times New Roman" w:hAnsi="Times New Roman"/>
          <w:color w:val="0E101A"/>
          <w:sz w:val="20"/>
          <w:szCs w:val="20"/>
        </w:rPr>
      </w:pPr>
      <w:bookmarkStart w:id="0" w:name="_GoBack"/>
      <w:bookmarkEnd w:id="0"/>
      <w:r w:rsidRPr="00661B8A">
        <w:rPr>
          <w:rFonts w:ascii="Times New Roman" w:hAnsi="Times New Roman"/>
          <w:color w:val="0E101A"/>
          <w:sz w:val="20"/>
          <w:szCs w:val="20"/>
        </w:rPr>
        <w:lastRenderedPageBreak/>
        <w:t>The surgical techniques used to treat colonic damage have generally been agreed not to impact the result. However, there exist some separate risks for issues. Research is continuously being conducted to clarify these risk variables because they are currently unclear.</w:t>
      </w:r>
      <w:r w:rsidRPr="00661B8A">
        <w:rPr>
          <w:rFonts w:ascii="Times New Roman" w:hAnsi="Times New Roman"/>
          <w:color w:val="0E101A"/>
          <w:sz w:val="20"/>
          <w:szCs w:val="20"/>
          <w:vertAlign w:val="superscript"/>
        </w:rPr>
        <w:t>5</w:t>
      </w:r>
    </w:p>
    <w:p w14:paraId="3FDF1F61" w14:textId="77777777" w:rsidR="00154CE9" w:rsidRPr="00661B8A" w:rsidRDefault="00154CE9" w:rsidP="00154CE9">
      <w:pPr>
        <w:spacing w:after="0" w:line="240" w:lineRule="auto"/>
        <w:jc w:val="both"/>
        <w:rPr>
          <w:rFonts w:ascii="Times New Roman" w:hAnsi="Times New Roman"/>
          <w:color w:val="0E101A"/>
          <w:sz w:val="20"/>
          <w:szCs w:val="20"/>
        </w:rPr>
      </w:pPr>
      <w:r w:rsidRPr="00661B8A">
        <w:rPr>
          <w:rFonts w:ascii="Times New Roman" w:hAnsi="Times New Roman"/>
          <w:color w:val="0E101A"/>
          <w:sz w:val="20"/>
          <w:szCs w:val="20"/>
        </w:rPr>
        <w:t>Traumatic colon injuries are challenging to treat and are linked with high morbidity. A thorough understanding of the various approaches and care strategies for colonic wounds would help doctors reduce unnecessary consequences and death.</w:t>
      </w:r>
      <w:r w:rsidRPr="00661B8A">
        <w:rPr>
          <w:rFonts w:ascii="Times New Roman" w:hAnsi="Times New Roman"/>
          <w:color w:val="0E101A"/>
          <w:sz w:val="20"/>
          <w:szCs w:val="20"/>
          <w:vertAlign w:val="superscript"/>
        </w:rPr>
        <w:t>6</w:t>
      </w:r>
    </w:p>
    <w:p w14:paraId="6DC3A04E" w14:textId="77777777" w:rsidR="00154CE9" w:rsidRPr="00661B8A" w:rsidRDefault="00154CE9" w:rsidP="00154CE9">
      <w:pPr>
        <w:spacing w:after="0" w:line="240" w:lineRule="auto"/>
        <w:jc w:val="both"/>
        <w:rPr>
          <w:rFonts w:ascii="Times New Roman" w:hAnsi="Times New Roman"/>
          <w:color w:val="0E101A"/>
          <w:sz w:val="20"/>
          <w:szCs w:val="20"/>
        </w:rPr>
      </w:pPr>
      <w:r w:rsidRPr="00661B8A">
        <w:rPr>
          <w:rFonts w:ascii="Times New Roman" w:hAnsi="Times New Roman"/>
          <w:color w:val="0E101A"/>
          <w:sz w:val="20"/>
          <w:szCs w:val="20"/>
        </w:rPr>
        <w:t>The final section of the digestive system and the gastrointestinal tract in vertebrates is the large intestine, also known as the colon or big bowel. The residual waste is received here as water, and before being eliminated by defecation, it is contained as excrement.</w:t>
      </w:r>
      <w:r w:rsidRPr="00661B8A">
        <w:rPr>
          <w:rFonts w:ascii="Times New Roman" w:hAnsi="Times New Roman"/>
          <w:color w:val="0E101A"/>
          <w:sz w:val="20"/>
          <w:szCs w:val="20"/>
          <w:vertAlign w:val="superscript"/>
        </w:rPr>
        <w:t>6</w:t>
      </w:r>
      <w:r w:rsidRPr="00661B8A">
        <w:rPr>
          <w:rFonts w:ascii="Times New Roman" w:hAnsi="Times New Roman"/>
          <w:color w:val="0E101A"/>
          <w:sz w:val="20"/>
          <w:szCs w:val="20"/>
        </w:rPr>
        <w:t xml:space="preserve"> The anal canal is not included in all authors' definitions of the large intestine, typically including the colon, cecum, anal canal and rectum. The beginning of the large intestine is located in the human right iliac area of the pelvis, just below the waist. The ileocecal valve connects the large intestine to the cecum, the end of the small intestine, where it terminates.</w:t>
      </w:r>
      <w:r w:rsidRPr="00661B8A">
        <w:rPr>
          <w:rFonts w:ascii="Times New Roman" w:hAnsi="Times New Roman"/>
          <w:color w:val="0E101A"/>
          <w:sz w:val="20"/>
          <w:szCs w:val="20"/>
          <w:vertAlign w:val="superscript"/>
        </w:rPr>
        <w:t>7,8</w:t>
      </w:r>
      <w:r w:rsidRPr="00661B8A">
        <w:rPr>
          <w:rFonts w:ascii="Times New Roman" w:hAnsi="Times New Roman"/>
          <w:color w:val="0E101A"/>
          <w:sz w:val="20"/>
          <w:szCs w:val="20"/>
        </w:rPr>
        <w:t xml:space="preserve"> The large intestine in humans is generally approximately 1.5 meters or 5 feet long, approximately one-fifth of the entire stretch of the gastrointestinal tract. It then proceeds as the colon moves up the abdomen, throughout the circumference of the abdomen as the transverse colon, and then goes down to the rectum and its ending point at the anal canal.</w:t>
      </w:r>
      <w:r w:rsidRPr="00661B8A">
        <w:rPr>
          <w:rFonts w:ascii="Times New Roman" w:hAnsi="Times New Roman"/>
          <w:color w:val="0E101A"/>
          <w:sz w:val="20"/>
          <w:szCs w:val="20"/>
          <w:vertAlign w:val="superscript"/>
        </w:rPr>
        <w:t>9,10</w:t>
      </w:r>
    </w:p>
    <w:p w14:paraId="5BD9B26E" w14:textId="04E9C8E6" w:rsidR="00154CE9" w:rsidRPr="00B7662F" w:rsidRDefault="00154CE9" w:rsidP="00154CE9">
      <w:pPr>
        <w:shd w:val="clear" w:color="auto" w:fill="FFFFFF"/>
        <w:spacing w:after="0" w:line="240" w:lineRule="auto"/>
        <w:jc w:val="both"/>
        <w:rPr>
          <w:rFonts w:ascii="Times New Roman" w:hAnsi="Times New Roman"/>
          <w:b/>
          <w:sz w:val="6"/>
          <w:szCs w:val="6"/>
        </w:rPr>
      </w:pPr>
      <w:r w:rsidRPr="00661B8A">
        <w:rPr>
          <w:rFonts w:ascii="Times New Roman" w:hAnsi="Times New Roman"/>
          <w:color w:val="0E101A"/>
          <w:sz w:val="20"/>
          <w:szCs w:val="20"/>
        </w:rPr>
        <w:t>The digestive system ends with the colon. Before elimination from the body, it draws water and salt from waste materials. It is also where flora-aided (primarily bacterial) decomposition of un-dissolved material occurs.</w:t>
      </w:r>
      <w:r w:rsidRPr="00661B8A">
        <w:rPr>
          <w:rFonts w:ascii="Times New Roman" w:hAnsi="Times New Roman"/>
          <w:color w:val="0E101A"/>
          <w:sz w:val="20"/>
          <w:szCs w:val="20"/>
          <w:vertAlign w:val="superscript"/>
        </w:rPr>
        <w:t>11</w:t>
      </w:r>
      <w:r w:rsidRPr="00661B8A">
        <w:rPr>
          <w:rFonts w:ascii="Times New Roman" w:hAnsi="Times New Roman"/>
          <w:color w:val="0E101A"/>
          <w:sz w:val="20"/>
          <w:szCs w:val="20"/>
        </w:rPr>
        <w:t xml:space="preserve"> Unlike the small intestine, the colon does not significantly contribute to food and healthy digestion. The colon receives around 1.5 liters, or 45 ounces, of water daily. The average adult male colon measures 166 cm (80 to 313 cm), whereas the typical adult female colon measures 155 cm (80 to 214 cm).</w:t>
      </w:r>
      <w:r w:rsidRPr="00661B8A">
        <w:rPr>
          <w:rFonts w:ascii="Times New Roman" w:hAnsi="Times New Roman"/>
          <w:color w:val="0E101A"/>
          <w:sz w:val="20"/>
          <w:szCs w:val="20"/>
          <w:vertAlign w:val="superscript"/>
        </w:rPr>
        <w:t>12,13</w:t>
      </w:r>
    </w:p>
    <w:p w14:paraId="639630BE"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MATERIALS AND METHODS</w:t>
      </w:r>
    </w:p>
    <w:p w14:paraId="13D8CC28" w14:textId="4E8455BF" w:rsidR="00822107" w:rsidRPr="00EF6B19" w:rsidRDefault="00E961DC" w:rsidP="00EF6B19">
      <w:pPr>
        <w:shd w:val="clear" w:color="auto" w:fill="FFFFFF"/>
        <w:spacing w:after="0" w:line="240" w:lineRule="auto"/>
        <w:jc w:val="both"/>
        <w:rPr>
          <w:rFonts w:ascii="Times New Roman" w:hAnsi="Times New Roman"/>
          <w:b/>
          <w:sz w:val="20"/>
          <w:szCs w:val="20"/>
        </w:rPr>
      </w:pPr>
      <w:r w:rsidRPr="00661B8A">
        <w:rPr>
          <w:rFonts w:ascii="Times New Roman" w:hAnsi="Times New Roman"/>
          <w:color w:val="0E101A"/>
          <w:sz w:val="20"/>
          <w:szCs w:val="20"/>
        </w:rPr>
        <w:t>This cross-sectional (descriptive) study has been performed at the Ayub Teaching Hospital's Surgical Department, Abbottabad from 1</w:t>
      </w:r>
      <w:r w:rsidRPr="00661B8A">
        <w:rPr>
          <w:rFonts w:ascii="Times New Roman" w:hAnsi="Times New Roman"/>
          <w:color w:val="0E101A"/>
          <w:sz w:val="20"/>
          <w:szCs w:val="20"/>
          <w:vertAlign w:val="superscript"/>
        </w:rPr>
        <w:t>st</w:t>
      </w:r>
      <w:r w:rsidRPr="00661B8A">
        <w:rPr>
          <w:rFonts w:ascii="Times New Roman" w:hAnsi="Times New Roman"/>
          <w:color w:val="0E101A"/>
          <w:sz w:val="20"/>
          <w:szCs w:val="20"/>
        </w:rPr>
        <w:t xml:space="preserve"> January 2022 to 30</w:t>
      </w:r>
      <w:r w:rsidRPr="00661B8A">
        <w:rPr>
          <w:rFonts w:ascii="Times New Roman" w:hAnsi="Times New Roman"/>
          <w:color w:val="0E101A"/>
          <w:sz w:val="20"/>
          <w:szCs w:val="20"/>
          <w:vertAlign w:val="superscript"/>
        </w:rPr>
        <w:t>th</w:t>
      </w:r>
      <w:r w:rsidRPr="00661B8A">
        <w:rPr>
          <w:rFonts w:ascii="Times New Roman" w:hAnsi="Times New Roman"/>
          <w:color w:val="0E101A"/>
          <w:sz w:val="20"/>
          <w:szCs w:val="20"/>
        </w:rPr>
        <w:t xml:space="preserve"> June 2022 and 89 patients were enrolled. All patients age between 22-50 years, both gender and any type of trauma were included. Those patients over 80 kg weight, history of lower abdominal surgery (appendectomy and TVP), comorbid conditions or suffering from a terminal illness and sufferers of any recognized mental conditions were excluded. Following clearance from the hospital ethics committee for the research of particular patients by the criteria for inclusion and procedure of sampling, data was gathered on a questionnaire after receiving the patient's complete, accessible, and informed permission describing the risk of leaking. The investigator(s) have </w:t>
      </w:r>
      <w:r w:rsidRPr="00661B8A">
        <w:rPr>
          <w:rFonts w:ascii="Times New Roman" w:hAnsi="Times New Roman"/>
          <w:color w:val="0E101A"/>
          <w:sz w:val="20"/>
          <w:szCs w:val="20"/>
        </w:rPr>
        <w:lastRenderedPageBreak/>
        <w:t>collected. After patient selection, their history, examination, investigations (complete blood count, renal functions tests, serum electrolytes, liver functions tests, screening tests for hepatitis B and C, abdominal ultrasound, chest x-ray), and surgical procedure was conducted. SPSS-24 was used to analyze the data. Age, gender, and trauma type were used to stratify the outcome variable (leakage). At a 5% level of significance, the post-stratification chi-square test was performed.</w:t>
      </w:r>
    </w:p>
    <w:p w14:paraId="7F1CD9EB"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RESULTS</w:t>
      </w:r>
    </w:p>
    <w:p w14:paraId="38B24D17" w14:textId="77777777" w:rsidR="00DF5C5B" w:rsidRPr="00661B8A" w:rsidRDefault="00DF5C5B" w:rsidP="00DF5C5B">
      <w:pPr>
        <w:autoSpaceDE w:val="0"/>
        <w:autoSpaceDN w:val="0"/>
        <w:adjustRightInd w:val="0"/>
        <w:spacing w:after="0" w:line="240" w:lineRule="auto"/>
        <w:jc w:val="both"/>
        <w:rPr>
          <w:rFonts w:ascii="Times New Roman" w:hAnsi="Times New Roman"/>
          <w:color w:val="0E101A"/>
          <w:sz w:val="20"/>
          <w:szCs w:val="20"/>
        </w:rPr>
      </w:pPr>
      <w:r w:rsidRPr="00661B8A">
        <w:rPr>
          <w:rFonts w:ascii="Times New Roman" w:hAnsi="Times New Roman"/>
          <w:color w:val="0E101A"/>
          <w:sz w:val="20"/>
          <w:szCs w:val="20"/>
        </w:rPr>
        <w:t>The mean age was 36.698.325 years with a range of 22 to 50 years (Table 1).</w:t>
      </w:r>
    </w:p>
    <w:p w14:paraId="2B443157" w14:textId="065564B8" w:rsidR="00DF5C5B" w:rsidRPr="00661B8A" w:rsidRDefault="00DF5C5B" w:rsidP="00DF5C5B">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 xml:space="preserve">The </w:t>
      </w:r>
      <w:r w:rsidRPr="00661B8A">
        <w:rPr>
          <w:rFonts w:ascii="Times New Roman" w:hAnsi="Times New Roman"/>
          <w:color w:val="0E101A"/>
          <w:sz w:val="20"/>
          <w:szCs w:val="20"/>
        </w:rPr>
        <w:t>patients presented with firearm injury to the abdomen with colon were 38 (42.7%), with blunt abdominal trauma were 20 (22.5%), stab wound abdomen was 20 (22.5%), while another type of traumas, e.g. fall from the roof and RTA was 1 (2%)</w:t>
      </w:r>
      <w:r w:rsidR="007C3FAD">
        <w:rPr>
          <w:rFonts w:ascii="Times New Roman" w:hAnsi="Times New Roman"/>
          <w:color w:val="0E101A"/>
          <w:sz w:val="20"/>
          <w:szCs w:val="20"/>
        </w:rPr>
        <w:t xml:space="preserve"> [Table 2</w:t>
      </w:r>
      <w:r w:rsidRPr="00661B8A">
        <w:rPr>
          <w:rFonts w:ascii="Times New Roman" w:hAnsi="Times New Roman"/>
          <w:color w:val="0E101A"/>
          <w:sz w:val="20"/>
          <w:szCs w:val="20"/>
        </w:rPr>
        <w:t>.</w:t>
      </w:r>
      <w:r w:rsidR="007C3FAD">
        <w:rPr>
          <w:rFonts w:ascii="Times New Roman" w:hAnsi="Times New Roman"/>
          <w:color w:val="0E101A"/>
          <w:sz w:val="20"/>
          <w:szCs w:val="20"/>
        </w:rPr>
        <w:t>]</w:t>
      </w:r>
    </w:p>
    <w:p w14:paraId="7225A31B" w14:textId="77777777" w:rsidR="00DF5C5B" w:rsidRPr="00661B8A" w:rsidRDefault="00DF5C5B" w:rsidP="00DF5C5B">
      <w:pPr>
        <w:autoSpaceDE w:val="0"/>
        <w:autoSpaceDN w:val="0"/>
        <w:adjustRightInd w:val="0"/>
        <w:spacing w:after="0" w:line="240" w:lineRule="auto"/>
        <w:jc w:val="both"/>
        <w:rPr>
          <w:rFonts w:ascii="Times New Roman" w:hAnsi="Times New Roman"/>
          <w:color w:val="0E101A"/>
          <w:sz w:val="20"/>
          <w:szCs w:val="20"/>
        </w:rPr>
      </w:pPr>
      <w:r w:rsidRPr="00661B8A">
        <w:rPr>
          <w:rFonts w:ascii="Times New Roman" w:hAnsi="Times New Roman"/>
          <w:color w:val="0E101A"/>
          <w:sz w:val="20"/>
          <w:szCs w:val="20"/>
        </w:rPr>
        <w:t>The frequency of the type of trauma-associated injury, patients presented with no trauma-associated injury were 58 (65.2%), liver laceration 12 (13.5%), splenic injury 6 (6.7%), while other associated injuries, e.g. multiple fracture mesenteric tear was 1 (2%) [Table 3].</w:t>
      </w:r>
    </w:p>
    <w:p w14:paraId="28EF2E1C" w14:textId="56817A3C" w:rsidR="00DF5C5B" w:rsidRPr="00661B8A" w:rsidRDefault="00DF5C5B" w:rsidP="00DF5C5B">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T</w:t>
      </w:r>
      <w:r w:rsidRPr="00661B8A">
        <w:rPr>
          <w:rFonts w:ascii="Times New Roman" w:hAnsi="Times New Roman"/>
          <w:color w:val="0E101A"/>
          <w:sz w:val="20"/>
          <w:szCs w:val="20"/>
        </w:rPr>
        <w:t>he frequency of anastomotic leakage, 21(23.6%) patients found postoperative complication, i.e. anastomotic leakage whiles the remaining 68(76.4%) found no leakage [Table 4].</w:t>
      </w:r>
    </w:p>
    <w:p w14:paraId="10E0FFD7" w14:textId="1505A902" w:rsidR="00822107" w:rsidRDefault="00DF5C5B" w:rsidP="00DF5C5B">
      <w:pPr>
        <w:shd w:val="clear" w:color="auto" w:fill="FFFFFF"/>
        <w:spacing w:after="0" w:line="240" w:lineRule="auto"/>
        <w:jc w:val="both"/>
        <w:rPr>
          <w:rFonts w:ascii="Times New Roman" w:hAnsi="Times New Roman"/>
          <w:color w:val="0E101A"/>
          <w:sz w:val="20"/>
          <w:szCs w:val="20"/>
        </w:rPr>
      </w:pPr>
      <w:r w:rsidRPr="00661B8A">
        <w:rPr>
          <w:rFonts w:ascii="Times New Roman" w:hAnsi="Times New Roman"/>
          <w:sz w:val="20"/>
          <w:szCs w:val="20"/>
        </w:rPr>
        <w:t xml:space="preserve">When the data was stratified, 35 </w:t>
      </w:r>
      <w:r w:rsidRPr="00661B8A">
        <w:rPr>
          <w:rFonts w:ascii="Times New Roman" w:hAnsi="Times New Roman"/>
          <w:color w:val="0E101A"/>
          <w:sz w:val="20"/>
          <w:szCs w:val="20"/>
        </w:rPr>
        <w:t>(39.3%) were between the ages of 41 and 50, while 28 (31.5%) were between the ages of 31 and 40. Fifteen (23.8%) male and 6</w:t>
      </w:r>
      <w:r w:rsidR="007C3FAD">
        <w:rPr>
          <w:rFonts w:ascii="Times New Roman" w:hAnsi="Times New Roman"/>
          <w:color w:val="0E101A"/>
          <w:sz w:val="20"/>
          <w:szCs w:val="20"/>
        </w:rPr>
        <w:t xml:space="preserve"> </w:t>
      </w:r>
      <w:r w:rsidRPr="00661B8A">
        <w:rPr>
          <w:rFonts w:ascii="Times New Roman" w:hAnsi="Times New Roman"/>
          <w:color w:val="0E101A"/>
          <w:sz w:val="20"/>
          <w:szCs w:val="20"/>
        </w:rPr>
        <w:t xml:space="preserve">(23.1%) female patients were found to have anastomotic leakage, while the remaining 68 (76.4%) from both genders. Thirteen (34.2%) were patients of firearm injury to the abdomen and 2(10.0%) were with blunt abdominal trauma; the result is also not statistically significant (p=0.309). </w:t>
      </w:r>
      <w:r w:rsidRPr="00661B8A">
        <w:rPr>
          <w:rFonts w:ascii="Times New Roman" w:hAnsi="Times New Roman"/>
          <w:sz w:val="20"/>
          <w:szCs w:val="20"/>
        </w:rPr>
        <w:t xml:space="preserve">Six </w:t>
      </w:r>
      <w:r w:rsidRPr="00661B8A">
        <w:rPr>
          <w:rFonts w:ascii="Times New Roman" w:hAnsi="Times New Roman"/>
          <w:color w:val="0E101A"/>
          <w:sz w:val="20"/>
          <w:szCs w:val="20"/>
        </w:rPr>
        <w:t>(50%) were found to have liver laceration, and 2(100.0%) were found with multiple ribs fractures; this finding was also not statistically significant (p=0.088). Four (15.4%) were from the age group of 22 to 30 years, 7(25.0%) from the 31 to 40 years of age group and 10(28.6%) were from 41 to 50 years of age group, this finding is not found statistically significant (p=0.476) [Table 5].</w:t>
      </w:r>
    </w:p>
    <w:p w14:paraId="621C43F4" w14:textId="6E62C5C3" w:rsidR="00E60199" w:rsidRPr="00661B8A" w:rsidRDefault="00E60199" w:rsidP="00E60199">
      <w:pPr>
        <w:autoSpaceDE w:val="0"/>
        <w:autoSpaceDN w:val="0"/>
        <w:adjustRightInd w:val="0"/>
        <w:spacing w:before="120" w:after="0" w:line="240" w:lineRule="auto"/>
        <w:jc w:val="both"/>
        <w:rPr>
          <w:rFonts w:ascii="Times New Roman" w:hAnsi="Times New Roman"/>
          <w:b/>
          <w:sz w:val="20"/>
          <w:szCs w:val="20"/>
        </w:rPr>
      </w:pPr>
      <w:r w:rsidRPr="00661B8A">
        <w:rPr>
          <w:rFonts w:ascii="Times New Roman" w:hAnsi="Times New Roman"/>
          <w:b/>
          <w:sz w:val="20"/>
          <w:szCs w:val="20"/>
        </w:rPr>
        <w:t xml:space="preserve">Table </w:t>
      </w:r>
      <w:r>
        <w:rPr>
          <w:rFonts w:ascii="Times New Roman" w:hAnsi="Times New Roman"/>
          <w:b/>
          <w:sz w:val="20"/>
          <w:szCs w:val="20"/>
        </w:rPr>
        <w:t>No.</w:t>
      </w:r>
      <w:r w:rsidRPr="00661B8A">
        <w:rPr>
          <w:rFonts w:ascii="Times New Roman" w:hAnsi="Times New Roman"/>
          <w:b/>
          <w:sz w:val="20"/>
          <w:szCs w:val="20"/>
        </w:rPr>
        <w:t>1: Descriptive statistics of age (n=89)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60"/>
      </w:tblGrid>
      <w:tr w:rsidR="00E60199" w:rsidRPr="00661B8A" w14:paraId="33D040EA" w14:textId="77777777" w:rsidTr="00E546C6">
        <w:tc>
          <w:tcPr>
            <w:tcW w:w="2240" w:type="dxa"/>
            <w:vMerge w:val="restart"/>
            <w:vAlign w:val="center"/>
          </w:tcPr>
          <w:p w14:paraId="7167CA2B" w14:textId="77777777" w:rsidR="00E60199" w:rsidRPr="00661B8A" w:rsidRDefault="00E60199" w:rsidP="00386A33">
            <w:pPr>
              <w:autoSpaceDE w:val="0"/>
              <w:autoSpaceDN w:val="0"/>
              <w:adjustRightInd w:val="0"/>
              <w:spacing w:after="0" w:line="240" w:lineRule="auto"/>
              <w:rPr>
                <w:rFonts w:ascii="Times New Roman" w:hAnsi="Times New Roman"/>
                <w:sz w:val="20"/>
                <w:szCs w:val="20"/>
              </w:rPr>
            </w:pPr>
            <w:r w:rsidRPr="00661B8A">
              <w:rPr>
                <w:rFonts w:ascii="Times New Roman" w:hAnsi="Times New Roman"/>
                <w:sz w:val="20"/>
                <w:szCs w:val="20"/>
              </w:rPr>
              <w:t>Age (years)</w:t>
            </w:r>
          </w:p>
        </w:tc>
        <w:tc>
          <w:tcPr>
            <w:tcW w:w="2260" w:type="dxa"/>
          </w:tcPr>
          <w:p w14:paraId="35C3CE5B"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Mean±SD</w:t>
            </w:r>
          </w:p>
        </w:tc>
      </w:tr>
      <w:tr w:rsidR="00E60199" w:rsidRPr="00661B8A" w14:paraId="1E09596E" w14:textId="77777777" w:rsidTr="00E546C6">
        <w:tc>
          <w:tcPr>
            <w:tcW w:w="2240" w:type="dxa"/>
            <w:vMerge/>
          </w:tcPr>
          <w:p w14:paraId="57573243"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p>
        </w:tc>
        <w:tc>
          <w:tcPr>
            <w:tcW w:w="2260" w:type="dxa"/>
          </w:tcPr>
          <w:p w14:paraId="47302BB3"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36.69±8.32</w:t>
            </w:r>
          </w:p>
        </w:tc>
      </w:tr>
    </w:tbl>
    <w:p w14:paraId="308EE264" w14:textId="72BE9565" w:rsidR="00E60199" w:rsidRPr="00661B8A" w:rsidRDefault="00E60199" w:rsidP="00E60199">
      <w:pPr>
        <w:autoSpaceDE w:val="0"/>
        <w:autoSpaceDN w:val="0"/>
        <w:adjustRightInd w:val="0"/>
        <w:spacing w:before="120" w:after="0" w:line="240" w:lineRule="auto"/>
        <w:jc w:val="both"/>
        <w:rPr>
          <w:rFonts w:ascii="Times New Roman" w:hAnsi="Times New Roman"/>
          <w:sz w:val="20"/>
          <w:szCs w:val="20"/>
        </w:rPr>
      </w:pPr>
      <w:r w:rsidRPr="00661B8A">
        <w:rPr>
          <w:rFonts w:ascii="Times New Roman" w:hAnsi="Times New Roman"/>
          <w:b/>
          <w:color w:val="000000"/>
          <w:sz w:val="20"/>
          <w:szCs w:val="20"/>
        </w:rPr>
        <w:t xml:space="preserve">Table </w:t>
      </w:r>
      <w:r>
        <w:rPr>
          <w:rFonts w:ascii="Times New Roman" w:hAnsi="Times New Roman"/>
          <w:b/>
          <w:color w:val="000000"/>
          <w:sz w:val="20"/>
          <w:szCs w:val="20"/>
        </w:rPr>
        <w:t>No.</w:t>
      </w:r>
      <w:r w:rsidRPr="00661B8A">
        <w:rPr>
          <w:rFonts w:ascii="Times New Roman" w:hAnsi="Times New Roman"/>
          <w:b/>
          <w:color w:val="000000"/>
          <w:sz w:val="20"/>
          <w:szCs w:val="20"/>
        </w:rPr>
        <w:t>2: Comparison of gender according to anastomotic leakage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568"/>
        <w:gridCol w:w="1460"/>
      </w:tblGrid>
      <w:tr w:rsidR="00E60199" w:rsidRPr="00661B8A" w14:paraId="1EDF8799" w14:textId="77777777" w:rsidTr="004A3D62">
        <w:tc>
          <w:tcPr>
            <w:tcW w:w="1472" w:type="dxa"/>
            <w:vMerge w:val="restart"/>
            <w:vAlign w:val="center"/>
          </w:tcPr>
          <w:p w14:paraId="748FDBA2" w14:textId="77777777" w:rsidR="00E60199" w:rsidRPr="00661B8A" w:rsidRDefault="00E60199" w:rsidP="00386A33">
            <w:pPr>
              <w:autoSpaceDE w:val="0"/>
              <w:autoSpaceDN w:val="0"/>
              <w:adjustRightInd w:val="0"/>
              <w:spacing w:after="0" w:line="240" w:lineRule="auto"/>
              <w:rPr>
                <w:rFonts w:ascii="Times New Roman" w:hAnsi="Times New Roman"/>
                <w:b/>
                <w:sz w:val="20"/>
                <w:szCs w:val="20"/>
              </w:rPr>
            </w:pPr>
            <w:r w:rsidRPr="00661B8A">
              <w:rPr>
                <w:rFonts w:ascii="Times New Roman" w:hAnsi="Times New Roman"/>
                <w:b/>
                <w:sz w:val="20"/>
                <w:szCs w:val="20"/>
              </w:rPr>
              <w:t>Gender</w:t>
            </w:r>
          </w:p>
        </w:tc>
        <w:tc>
          <w:tcPr>
            <w:tcW w:w="3028" w:type="dxa"/>
            <w:gridSpan w:val="2"/>
          </w:tcPr>
          <w:p w14:paraId="4DE9D6BA" w14:textId="77777777" w:rsidR="00E60199" w:rsidRPr="00661B8A" w:rsidRDefault="00E60199" w:rsidP="00386A33">
            <w:pPr>
              <w:autoSpaceDE w:val="0"/>
              <w:autoSpaceDN w:val="0"/>
              <w:adjustRightInd w:val="0"/>
              <w:spacing w:after="0" w:line="240" w:lineRule="auto"/>
              <w:jc w:val="center"/>
              <w:rPr>
                <w:rFonts w:ascii="Times New Roman" w:hAnsi="Times New Roman"/>
                <w:b/>
                <w:sz w:val="20"/>
                <w:szCs w:val="20"/>
              </w:rPr>
            </w:pPr>
            <w:r w:rsidRPr="00661B8A">
              <w:rPr>
                <w:rFonts w:ascii="Times New Roman" w:hAnsi="Times New Roman"/>
                <w:b/>
                <w:sz w:val="20"/>
                <w:szCs w:val="20"/>
              </w:rPr>
              <w:t>Leakage</w:t>
            </w:r>
          </w:p>
        </w:tc>
      </w:tr>
      <w:tr w:rsidR="00E60199" w:rsidRPr="00661B8A" w14:paraId="4F25D082" w14:textId="77777777" w:rsidTr="004A3D62">
        <w:tc>
          <w:tcPr>
            <w:tcW w:w="1472" w:type="dxa"/>
            <w:vMerge/>
          </w:tcPr>
          <w:p w14:paraId="0061ACE3" w14:textId="77777777" w:rsidR="00E60199" w:rsidRPr="00661B8A" w:rsidRDefault="00E60199" w:rsidP="00386A33">
            <w:pPr>
              <w:autoSpaceDE w:val="0"/>
              <w:autoSpaceDN w:val="0"/>
              <w:adjustRightInd w:val="0"/>
              <w:spacing w:after="0" w:line="240" w:lineRule="auto"/>
              <w:jc w:val="both"/>
              <w:rPr>
                <w:rFonts w:ascii="Times New Roman" w:hAnsi="Times New Roman"/>
                <w:b/>
                <w:sz w:val="20"/>
                <w:szCs w:val="20"/>
              </w:rPr>
            </w:pPr>
          </w:p>
        </w:tc>
        <w:tc>
          <w:tcPr>
            <w:tcW w:w="1568" w:type="dxa"/>
          </w:tcPr>
          <w:p w14:paraId="3E322BB3" w14:textId="77777777" w:rsidR="00E60199" w:rsidRPr="00661B8A" w:rsidRDefault="00E60199" w:rsidP="00386A33">
            <w:pPr>
              <w:autoSpaceDE w:val="0"/>
              <w:autoSpaceDN w:val="0"/>
              <w:adjustRightInd w:val="0"/>
              <w:spacing w:after="0" w:line="240" w:lineRule="auto"/>
              <w:jc w:val="center"/>
              <w:rPr>
                <w:rFonts w:ascii="Times New Roman" w:hAnsi="Times New Roman"/>
                <w:b/>
                <w:sz w:val="20"/>
                <w:szCs w:val="20"/>
              </w:rPr>
            </w:pPr>
            <w:r w:rsidRPr="00661B8A">
              <w:rPr>
                <w:rFonts w:ascii="Times New Roman" w:hAnsi="Times New Roman"/>
                <w:b/>
                <w:sz w:val="20"/>
                <w:szCs w:val="20"/>
              </w:rPr>
              <w:t>Yes (n=21)</w:t>
            </w:r>
          </w:p>
        </w:tc>
        <w:tc>
          <w:tcPr>
            <w:tcW w:w="1460" w:type="dxa"/>
          </w:tcPr>
          <w:p w14:paraId="25C34474" w14:textId="77777777" w:rsidR="00E60199" w:rsidRPr="00661B8A" w:rsidRDefault="00E60199" w:rsidP="00386A33">
            <w:pPr>
              <w:autoSpaceDE w:val="0"/>
              <w:autoSpaceDN w:val="0"/>
              <w:adjustRightInd w:val="0"/>
              <w:spacing w:after="0" w:line="240" w:lineRule="auto"/>
              <w:jc w:val="center"/>
              <w:rPr>
                <w:rFonts w:ascii="Times New Roman" w:hAnsi="Times New Roman"/>
                <w:b/>
                <w:sz w:val="20"/>
                <w:szCs w:val="20"/>
              </w:rPr>
            </w:pPr>
            <w:r w:rsidRPr="00661B8A">
              <w:rPr>
                <w:rFonts w:ascii="Times New Roman" w:hAnsi="Times New Roman"/>
                <w:b/>
                <w:sz w:val="20"/>
                <w:szCs w:val="20"/>
              </w:rPr>
              <w:t>No (n=68)</w:t>
            </w:r>
          </w:p>
        </w:tc>
      </w:tr>
      <w:tr w:rsidR="00E60199" w:rsidRPr="00661B8A" w14:paraId="26DCC083" w14:textId="77777777" w:rsidTr="004A3D62">
        <w:tc>
          <w:tcPr>
            <w:tcW w:w="1472" w:type="dxa"/>
          </w:tcPr>
          <w:p w14:paraId="78BCF82B"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Male</w:t>
            </w:r>
          </w:p>
        </w:tc>
        <w:tc>
          <w:tcPr>
            <w:tcW w:w="1568" w:type="dxa"/>
          </w:tcPr>
          <w:p w14:paraId="04898DE0"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15 (71.4%)</w:t>
            </w:r>
          </w:p>
        </w:tc>
        <w:tc>
          <w:tcPr>
            <w:tcW w:w="1460" w:type="dxa"/>
          </w:tcPr>
          <w:p w14:paraId="2C146E6B"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48 (70.5%)</w:t>
            </w:r>
          </w:p>
        </w:tc>
      </w:tr>
      <w:tr w:rsidR="00E60199" w:rsidRPr="00661B8A" w14:paraId="5AA878D7" w14:textId="77777777" w:rsidTr="004A3D62">
        <w:tc>
          <w:tcPr>
            <w:tcW w:w="1472" w:type="dxa"/>
          </w:tcPr>
          <w:p w14:paraId="7DD2198F"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Female</w:t>
            </w:r>
          </w:p>
        </w:tc>
        <w:tc>
          <w:tcPr>
            <w:tcW w:w="1568" w:type="dxa"/>
          </w:tcPr>
          <w:p w14:paraId="002B7718"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6 (28.6%)</w:t>
            </w:r>
          </w:p>
        </w:tc>
        <w:tc>
          <w:tcPr>
            <w:tcW w:w="1460" w:type="dxa"/>
          </w:tcPr>
          <w:p w14:paraId="1E8475D0"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20 (29.5%)</w:t>
            </w:r>
          </w:p>
        </w:tc>
      </w:tr>
    </w:tbl>
    <w:p w14:paraId="4746993F" w14:textId="77777777" w:rsidR="00F07852" w:rsidRDefault="00E60199" w:rsidP="00F07852">
      <w:pPr>
        <w:autoSpaceDE w:val="0"/>
        <w:autoSpaceDN w:val="0"/>
        <w:adjustRightInd w:val="0"/>
        <w:spacing w:after="0" w:line="240" w:lineRule="auto"/>
        <w:jc w:val="both"/>
        <w:rPr>
          <w:rFonts w:ascii="Times New Roman" w:hAnsi="Times New Roman"/>
          <w:sz w:val="18"/>
          <w:szCs w:val="20"/>
        </w:rPr>
      </w:pPr>
      <w:r w:rsidRPr="00E60199">
        <w:rPr>
          <w:rFonts w:ascii="Times New Roman" w:hAnsi="Times New Roman"/>
          <w:sz w:val="18"/>
          <w:szCs w:val="20"/>
        </w:rPr>
        <w:t>Chi square value = 0.005</w:t>
      </w:r>
      <w:r w:rsidRPr="00E60199">
        <w:rPr>
          <w:rFonts w:ascii="Times New Roman" w:hAnsi="Times New Roman"/>
          <w:sz w:val="18"/>
          <w:szCs w:val="20"/>
        </w:rPr>
        <w:tab/>
      </w:r>
      <w:r w:rsidRPr="00E60199">
        <w:rPr>
          <w:rFonts w:ascii="Times New Roman" w:hAnsi="Times New Roman"/>
          <w:sz w:val="18"/>
          <w:szCs w:val="20"/>
        </w:rPr>
        <w:tab/>
        <w:t>P value = 0.941</w:t>
      </w:r>
    </w:p>
    <w:p w14:paraId="3F3809EB" w14:textId="7A71DFDF" w:rsidR="00E60199" w:rsidRPr="00E60199" w:rsidRDefault="00E60199" w:rsidP="00F07852">
      <w:pPr>
        <w:autoSpaceDE w:val="0"/>
        <w:autoSpaceDN w:val="0"/>
        <w:adjustRightInd w:val="0"/>
        <w:spacing w:before="120" w:after="0" w:line="240" w:lineRule="auto"/>
        <w:jc w:val="both"/>
        <w:rPr>
          <w:rFonts w:ascii="Times New Roman" w:hAnsi="Times New Roman"/>
          <w:sz w:val="18"/>
          <w:szCs w:val="20"/>
        </w:rPr>
      </w:pPr>
      <w:r w:rsidRPr="00661B8A">
        <w:rPr>
          <w:rFonts w:ascii="Times New Roman" w:hAnsi="Times New Roman"/>
          <w:b/>
          <w:sz w:val="20"/>
          <w:szCs w:val="20"/>
        </w:rPr>
        <w:lastRenderedPageBreak/>
        <w:t xml:space="preserve">Table </w:t>
      </w:r>
      <w:r>
        <w:rPr>
          <w:rFonts w:ascii="Times New Roman" w:hAnsi="Times New Roman"/>
          <w:b/>
          <w:sz w:val="20"/>
          <w:szCs w:val="20"/>
        </w:rPr>
        <w:t>No.</w:t>
      </w:r>
      <w:r w:rsidRPr="00661B8A">
        <w:rPr>
          <w:rFonts w:ascii="Times New Roman" w:hAnsi="Times New Roman"/>
          <w:b/>
          <w:sz w:val="20"/>
          <w:szCs w:val="20"/>
        </w:rPr>
        <w:t>3: Comparison of type of trauma according to anastomotic leakage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170"/>
        <w:gridCol w:w="1188"/>
      </w:tblGrid>
      <w:tr w:rsidR="00E60199" w:rsidRPr="00661B8A" w14:paraId="22052A63" w14:textId="77777777" w:rsidTr="00F07852">
        <w:tc>
          <w:tcPr>
            <w:tcW w:w="2250" w:type="dxa"/>
            <w:vMerge w:val="restart"/>
            <w:vAlign w:val="center"/>
          </w:tcPr>
          <w:p w14:paraId="63E15AEE" w14:textId="77777777" w:rsidR="00E60199" w:rsidRPr="00661B8A" w:rsidRDefault="00E60199" w:rsidP="00386A33">
            <w:pPr>
              <w:autoSpaceDE w:val="0"/>
              <w:autoSpaceDN w:val="0"/>
              <w:adjustRightInd w:val="0"/>
              <w:spacing w:after="0" w:line="240" w:lineRule="auto"/>
              <w:rPr>
                <w:rFonts w:ascii="Times New Roman" w:hAnsi="Times New Roman"/>
                <w:b/>
                <w:sz w:val="20"/>
                <w:szCs w:val="20"/>
              </w:rPr>
            </w:pPr>
            <w:r w:rsidRPr="00661B8A">
              <w:rPr>
                <w:rFonts w:ascii="Times New Roman" w:hAnsi="Times New Roman"/>
                <w:b/>
                <w:sz w:val="20"/>
                <w:szCs w:val="20"/>
              </w:rPr>
              <w:t>Type of trauma</w:t>
            </w:r>
          </w:p>
        </w:tc>
        <w:tc>
          <w:tcPr>
            <w:tcW w:w="2358" w:type="dxa"/>
            <w:gridSpan w:val="2"/>
          </w:tcPr>
          <w:p w14:paraId="576A3F24" w14:textId="77777777" w:rsidR="00E60199" w:rsidRPr="00661B8A" w:rsidRDefault="00E60199" w:rsidP="00386A33">
            <w:pPr>
              <w:autoSpaceDE w:val="0"/>
              <w:autoSpaceDN w:val="0"/>
              <w:adjustRightInd w:val="0"/>
              <w:spacing w:after="0" w:line="240" w:lineRule="auto"/>
              <w:jc w:val="center"/>
              <w:rPr>
                <w:rFonts w:ascii="Times New Roman" w:hAnsi="Times New Roman"/>
                <w:b/>
                <w:sz w:val="20"/>
                <w:szCs w:val="20"/>
              </w:rPr>
            </w:pPr>
            <w:r w:rsidRPr="00661B8A">
              <w:rPr>
                <w:rFonts w:ascii="Times New Roman" w:hAnsi="Times New Roman"/>
                <w:b/>
                <w:sz w:val="20"/>
                <w:szCs w:val="20"/>
              </w:rPr>
              <w:t>Leakage</w:t>
            </w:r>
          </w:p>
        </w:tc>
      </w:tr>
      <w:tr w:rsidR="00E60199" w:rsidRPr="00661B8A" w14:paraId="1F099D41" w14:textId="77777777" w:rsidTr="00F07852">
        <w:tc>
          <w:tcPr>
            <w:tcW w:w="2250" w:type="dxa"/>
            <w:vMerge/>
          </w:tcPr>
          <w:p w14:paraId="3B37D76E" w14:textId="77777777" w:rsidR="00E60199" w:rsidRPr="00661B8A" w:rsidRDefault="00E60199" w:rsidP="00386A33">
            <w:pPr>
              <w:autoSpaceDE w:val="0"/>
              <w:autoSpaceDN w:val="0"/>
              <w:adjustRightInd w:val="0"/>
              <w:spacing w:after="0" w:line="240" w:lineRule="auto"/>
              <w:jc w:val="both"/>
              <w:rPr>
                <w:rFonts w:ascii="Times New Roman" w:hAnsi="Times New Roman"/>
                <w:b/>
                <w:sz w:val="20"/>
                <w:szCs w:val="20"/>
              </w:rPr>
            </w:pPr>
          </w:p>
        </w:tc>
        <w:tc>
          <w:tcPr>
            <w:tcW w:w="1170" w:type="dxa"/>
          </w:tcPr>
          <w:p w14:paraId="68506B07" w14:textId="77777777" w:rsidR="00E60199" w:rsidRPr="00661B8A" w:rsidRDefault="00E60199" w:rsidP="00386A33">
            <w:pPr>
              <w:autoSpaceDE w:val="0"/>
              <w:autoSpaceDN w:val="0"/>
              <w:adjustRightInd w:val="0"/>
              <w:spacing w:after="0" w:line="240" w:lineRule="auto"/>
              <w:jc w:val="center"/>
              <w:rPr>
                <w:rFonts w:ascii="Times New Roman" w:hAnsi="Times New Roman"/>
                <w:b/>
                <w:sz w:val="20"/>
                <w:szCs w:val="20"/>
              </w:rPr>
            </w:pPr>
            <w:r w:rsidRPr="00661B8A">
              <w:rPr>
                <w:rFonts w:ascii="Times New Roman" w:hAnsi="Times New Roman"/>
                <w:b/>
                <w:sz w:val="20"/>
                <w:szCs w:val="20"/>
              </w:rPr>
              <w:t>Yes (n=21)</w:t>
            </w:r>
          </w:p>
        </w:tc>
        <w:tc>
          <w:tcPr>
            <w:tcW w:w="1188" w:type="dxa"/>
          </w:tcPr>
          <w:p w14:paraId="7026E41A" w14:textId="77777777" w:rsidR="00E60199" w:rsidRPr="00661B8A" w:rsidRDefault="00E60199" w:rsidP="00386A33">
            <w:pPr>
              <w:autoSpaceDE w:val="0"/>
              <w:autoSpaceDN w:val="0"/>
              <w:adjustRightInd w:val="0"/>
              <w:spacing w:after="0" w:line="240" w:lineRule="auto"/>
              <w:jc w:val="center"/>
              <w:rPr>
                <w:rFonts w:ascii="Times New Roman" w:hAnsi="Times New Roman"/>
                <w:b/>
                <w:sz w:val="20"/>
                <w:szCs w:val="20"/>
              </w:rPr>
            </w:pPr>
            <w:r w:rsidRPr="00661B8A">
              <w:rPr>
                <w:rFonts w:ascii="Times New Roman" w:hAnsi="Times New Roman"/>
                <w:b/>
                <w:sz w:val="20"/>
                <w:szCs w:val="20"/>
              </w:rPr>
              <w:t>No (n=68)</w:t>
            </w:r>
          </w:p>
        </w:tc>
      </w:tr>
      <w:tr w:rsidR="00E60199" w:rsidRPr="00661B8A" w14:paraId="2897D060" w14:textId="77777777" w:rsidTr="00F07852">
        <w:tc>
          <w:tcPr>
            <w:tcW w:w="2250" w:type="dxa"/>
          </w:tcPr>
          <w:p w14:paraId="4EE277FE"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Blunt abdominal trauma (colonic perforation)</w:t>
            </w:r>
          </w:p>
        </w:tc>
        <w:tc>
          <w:tcPr>
            <w:tcW w:w="1170" w:type="dxa"/>
            <w:vAlign w:val="center"/>
          </w:tcPr>
          <w:p w14:paraId="612219A6"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2 (9.6%)</w:t>
            </w:r>
          </w:p>
        </w:tc>
        <w:tc>
          <w:tcPr>
            <w:tcW w:w="1188" w:type="dxa"/>
            <w:vAlign w:val="center"/>
          </w:tcPr>
          <w:p w14:paraId="743ECEFE"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18 (26.6%)</w:t>
            </w:r>
          </w:p>
        </w:tc>
      </w:tr>
      <w:tr w:rsidR="00E60199" w:rsidRPr="00661B8A" w14:paraId="3AFA6072" w14:textId="77777777" w:rsidTr="00F07852">
        <w:tc>
          <w:tcPr>
            <w:tcW w:w="2250" w:type="dxa"/>
          </w:tcPr>
          <w:p w14:paraId="6321AE24"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Fall from roof (abdominal trauma)</w:t>
            </w:r>
          </w:p>
        </w:tc>
        <w:tc>
          <w:tcPr>
            <w:tcW w:w="1170" w:type="dxa"/>
            <w:vAlign w:val="center"/>
          </w:tcPr>
          <w:p w14:paraId="1E228EEB"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w:t>
            </w:r>
          </w:p>
        </w:tc>
        <w:tc>
          <w:tcPr>
            <w:tcW w:w="1188" w:type="dxa"/>
            <w:vAlign w:val="center"/>
          </w:tcPr>
          <w:p w14:paraId="2ED1A02B"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2 (2.9%)</w:t>
            </w:r>
          </w:p>
        </w:tc>
      </w:tr>
      <w:tr w:rsidR="00E60199" w:rsidRPr="00661B8A" w14:paraId="7366D8CA" w14:textId="77777777" w:rsidTr="00F07852">
        <w:tc>
          <w:tcPr>
            <w:tcW w:w="2250" w:type="dxa"/>
          </w:tcPr>
          <w:p w14:paraId="3252D28D"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Fire arm injury to abdomen (colon)</w:t>
            </w:r>
          </w:p>
        </w:tc>
        <w:tc>
          <w:tcPr>
            <w:tcW w:w="1170" w:type="dxa"/>
            <w:vAlign w:val="center"/>
          </w:tcPr>
          <w:p w14:paraId="2E643C99"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13 (61.8%)</w:t>
            </w:r>
          </w:p>
        </w:tc>
        <w:tc>
          <w:tcPr>
            <w:tcW w:w="1188" w:type="dxa"/>
            <w:vAlign w:val="center"/>
          </w:tcPr>
          <w:p w14:paraId="56757719"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25 (36.6%)</w:t>
            </w:r>
          </w:p>
        </w:tc>
      </w:tr>
      <w:tr w:rsidR="00E60199" w:rsidRPr="00661B8A" w14:paraId="67285F3E" w14:textId="77777777" w:rsidTr="00F07852">
        <w:tc>
          <w:tcPr>
            <w:tcW w:w="2250" w:type="dxa"/>
          </w:tcPr>
          <w:p w14:paraId="4B97AE00"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Fire arm injury to sigmoid colon</w:t>
            </w:r>
          </w:p>
        </w:tc>
        <w:tc>
          <w:tcPr>
            <w:tcW w:w="1170" w:type="dxa"/>
            <w:vAlign w:val="center"/>
          </w:tcPr>
          <w:p w14:paraId="14FB1024"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w:t>
            </w:r>
          </w:p>
        </w:tc>
        <w:tc>
          <w:tcPr>
            <w:tcW w:w="1188" w:type="dxa"/>
            <w:vAlign w:val="center"/>
          </w:tcPr>
          <w:p w14:paraId="7EA6FC42"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1 (1.5%)</w:t>
            </w:r>
          </w:p>
        </w:tc>
      </w:tr>
      <w:tr w:rsidR="00E60199" w:rsidRPr="00661B8A" w14:paraId="33889523" w14:textId="77777777" w:rsidTr="00F07852">
        <w:tc>
          <w:tcPr>
            <w:tcW w:w="2250" w:type="dxa"/>
          </w:tcPr>
          <w:p w14:paraId="12DAC3B0"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Penetrating to abdomen with glass</w:t>
            </w:r>
          </w:p>
        </w:tc>
        <w:tc>
          <w:tcPr>
            <w:tcW w:w="1170" w:type="dxa"/>
            <w:vAlign w:val="center"/>
          </w:tcPr>
          <w:p w14:paraId="6D91FB92"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w:t>
            </w:r>
          </w:p>
        </w:tc>
        <w:tc>
          <w:tcPr>
            <w:tcW w:w="1188" w:type="dxa"/>
            <w:vAlign w:val="center"/>
          </w:tcPr>
          <w:p w14:paraId="146CF891"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2 (2.9%)</w:t>
            </w:r>
          </w:p>
        </w:tc>
      </w:tr>
      <w:tr w:rsidR="00E60199" w:rsidRPr="00661B8A" w14:paraId="4ECBC756" w14:textId="77777777" w:rsidTr="00F07852">
        <w:tc>
          <w:tcPr>
            <w:tcW w:w="2250" w:type="dxa"/>
          </w:tcPr>
          <w:p w14:paraId="19CE3DFA"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RTA (abdominal blunt trauma)</w:t>
            </w:r>
          </w:p>
        </w:tc>
        <w:tc>
          <w:tcPr>
            <w:tcW w:w="1170" w:type="dxa"/>
            <w:vAlign w:val="center"/>
          </w:tcPr>
          <w:p w14:paraId="182C66A1"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2 (9.6%)</w:t>
            </w:r>
          </w:p>
        </w:tc>
        <w:tc>
          <w:tcPr>
            <w:tcW w:w="1188" w:type="dxa"/>
            <w:vAlign w:val="center"/>
          </w:tcPr>
          <w:p w14:paraId="7A69FAE9"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2 (2.9%)</w:t>
            </w:r>
          </w:p>
        </w:tc>
      </w:tr>
      <w:tr w:rsidR="00E60199" w:rsidRPr="00661B8A" w14:paraId="708CA275" w14:textId="77777777" w:rsidTr="00F07852">
        <w:tc>
          <w:tcPr>
            <w:tcW w:w="2250" w:type="dxa"/>
          </w:tcPr>
          <w:p w14:paraId="7AAB1078"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RTA (dressing colon perforation)</w:t>
            </w:r>
          </w:p>
        </w:tc>
        <w:tc>
          <w:tcPr>
            <w:tcW w:w="1170" w:type="dxa"/>
            <w:vAlign w:val="center"/>
          </w:tcPr>
          <w:p w14:paraId="0FA3D0D2"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w:t>
            </w:r>
          </w:p>
        </w:tc>
        <w:tc>
          <w:tcPr>
            <w:tcW w:w="1188" w:type="dxa"/>
            <w:vAlign w:val="center"/>
          </w:tcPr>
          <w:p w14:paraId="1A8EBA45"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2 (2.9%)</w:t>
            </w:r>
          </w:p>
        </w:tc>
      </w:tr>
      <w:tr w:rsidR="00E60199" w:rsidRPr="00661B8A" w14:paraId="6EE4E938" w14:textId="77777777" w:rsidTr="00F07852">
        <w:tc>
          <w:tcPr>
            <w:tcW w:w="2250" w:type="dxa"/>
          </w:tcPr>
          <w:p w14:paraId="5E4167F3"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Stab wound abdomen (colonic injury)</w:t>
            </w:r>
          </w:p>
        </w:tc>
        <w:tc>
          <w:tcPr>
            <w:tcW w:w="1170" w:type="dxa"/>
            <w:vAlign w:val="center"/>
          </w:tcPr>
          <w:p w14:paraId="0E3DC274"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4 (19%)</w:t>
            </w:r>
          </w:p>
        </w:tc>
        <w:tc>
          <w:tcPr>
            <w:tcW w:w="1188" w:type="dxa"/>
            <w:vAlign w:val="center"/>
          </w:tcPr>
          <w:p w14:paraId="72598234"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16 (23.7%)</w:t>
            </w:r>
          </w:p>
        </w:tc>
      </w:tr>
    </w:tbl>
    <w:p w14:paraId="402966F9" w14:textId="77777777" w:rsidR="007D1E09" w:rsidRDefault="00E60199" w:rsidP="007D1E09">
      <w:pPr>
        <w:autoSpaceDE w:val="0"/>
        <w:autoSpaceDN w:val="0"/>
        <w:adjustRightInd w:val="0"/>
        <w:spacing w:after="0" w:line="240" w:lineRule="auto"/>
        <w:jc w:val="both"/>
        <w:rPr>
          <w:rFonts w:ascii="Times New Roman" w:hAnsi="Times New Roman"/>
          <w:sz w:val="18"/>
          <w:szCs w:val="20"/>
        </w:rPr>
      </w:pPr>
      <w:r w:rsidRPr="00F07852">
        <w:rPr>
          <w:rFonts w:ascii="Times New Roman" w:hAnsi="Times New Roman"/>
          <w:sz w:val="18"/>
          <w:szCs w:val="20"/>
        </w:rPr>
        <w:t>Chi square value = 8.278</w:t>
      </w:r>
      <w:r w:rsidRPr="00F07852">
        <w:rPr>
          <w:rFonts w:ascii="Times New Roman" w:hAnsi="Times New Roman"/>
          <w:sz w:val="18"/>
          <w:szCs w:val="20"/>
        </w:rPr>
        <w:tab/>
      </w:r>
      <w:r w:rsidRPr="00F07852">
        <w:rPr>
          <w:rFonts w:ascii="Times New Roman" w:hAnsi="Times New Roman"/>
          <w:sz w:val="18"/>
          <w:szCs w:val="20"/>
        </w:rPr>
        <w:tab/>
        <w:t>P value = 0.30</w:t>
      </w:r>
      <w:r w:rsidR="007D1E09">
        <w:rPr>
          <w:rFonts w:ascii="Times New Roman" w:hAnsi="Times New Roman"/>
          <w:sz w:val="18"/>
          <w:szCs w:val="20"/>
        </w:rPr>
        <w:t>9</w:t>
      </w:r>
    </w:p>
    <w:p w14:paraId="62CDD366" w14:textId="0F602CD6" w:rsidR="00E60199" w:rsidRPr="007D1E09" w:rsidRDefault="00E60199" w:rsidP="007D1E09">
      <w:pPr>
        <w:autoSpaceDE w:val="0"/>
        <w:autoSpaceDN w:val="0"/>
        <w:adjustRightInd w:val="0"/>
        <w:spacing w:before="120" w:after="0" w:line="240" w:lineRule="auto"/>
        <w:jc w:val="both"/>
        <w:rPr>
          <w:rFonts w:ascii="Times New Roman" w:hAnsi="Times New Roman"/>
          <w:sz w:val="18"/>
          <w:szCs w:val="20"/>
        </w:rPr>
      </w:pPr>
      <w:r w:rsidRPr="00661B8A">
        <w:rPr>
          <w:rFonts w:ascii="Times New Roman" w:hAnsi="Times New Roman"/>
          <w:b/>
          <w:sz w:val="20"/>
          <w:szCs w:val="20"/>
        </w:rPr>
        <w:t>Table 4: Comparison of associated injury according to anastomotic leakage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68"/>
        <w:gridCol w:w="1289"/>
      </w:tblGrid>
      <w:tr w:rsidR="00E60199" w:rsidRPr="00661B8A" w14:paraId="521E60B4" w14:textId="77777777" w:rsidTr="00386A33">
        <w:tc>
          <w:tcPr>
            <w:tcW w:w="2070" w:type="dxa"/>
            <w:vMerge w:val="restart"/>
            <w:vAlign w:val="center"/>
          </w:tcPr>
          <w:p w14:paraId="0D33E420" w14:textId="77777777" w:rsidR="00E60199" w:rsidRPr="00661B8A" w:rsidRDefault="00E60199" w:rsidP="00386A33">
            <w:pPr>
              <w:autoSpaceDE w:val="0"/>
              <w:autoSpaceDN w:val="0"/>
              <w:adjustRightInd w:val="0"/>
              <w:spacing w:after="0" w:line="240" w:lineRule="auto"/>
              <w:rPr>
                <w:rFonts w:ascii="Times New Roman" w:hAnsi="Times New Roman"/>
                <w:b/>
                <w:sz w:val="20"/>
                <w:szCs w:val="20"/>
              </w:rPr>
            </w:pPr>
            <w:r w:rsidRPr="00661B8A">
              <w:rPr>
                <w:rFonts w:ascii="Times New Roman" w:hAnsi="Times New Roman"/>
                <w:b/>
                <w:sz w:val="20"/>
                <w:szCs w:val="20"/>
              </w:rPr>
              <w:t>Associate injury</w:t>
            </w:r>
          </w:p>
        </w:tc>
        <w:tc>
          <w:tcPr>
            <w:tcW w:w="2790" w:type="dxa"/>
            <w:gridSpan w:val="2"/>
          </w:tcPr>
          <w:p w14:paraId="1AC3519B" w14:textId="77777777" w:rsidR="00E60199" w:rsidRPr="00661B8A" w:rsidRDefault="00E60199" w:rsidP="00386A33">
            <w:pPr>
              <w:autoSpaceDE w:val="0"/>
              <w:autoSpaceDN w:val="0"/>
              <w:adjustRightInd w:val="0"/>
              <w:spacing w:after="0" w:line="240" w:lineRule="auto"/>
              <w:jc w:val="center"/>
              <w:rPr>
                <w:rFonts w:ascii="Times New Roman" w:hAnsi="Times New Roman"/>
                <w:b/>
                <w:sz w:val="20"/>
                <w:szCs w:val="20"/>
              </w:rPr>
            </w:pPr>
            <w:r w:rsidRPr="00661B8A">
              <w:rPr>
                <w:rFonts w:ascii="Times New Roman" w:hAnsi="Times New Roman"/>
                <w:b/>
                <w:sz w:val="20"/>
                <w:szCs w:val="20"/>
              </w:rPr>
              <w:t>Leakage</w:t>
            </w:r>
          </w:p>
        </w:tc>
      </w:tr>
      <w:tr w:rsidR="00E60199" w:rsidRPr="00661B8A" w14:paraId="02E5C1F3" w14:textId="77777777" w:rsidTr="00386A33">
        <w:tc>
          <w:tcPr>
            <w:tcW w:w="2070" w:type="dxa"/>
            <w:vMerge/>
          </w:tcPr>
          <w:p w14:paraId="7270B879" w14:textId="77777777" w:rsidR="00E60199" w:rsidRPr="00661B8A" w:rsidRDefault="00E60199" w:rsidP="00386A33">
            <w:pPr>
              <w:autoSpaceDE w:val="0"/>
              <w:autoSpaceDN w:val="0"/>
              <w:adjustRightInd w:val="0"/>
              <w:spacing w:after="0" w:line="240" w:lineRule="auto"/>
              <w:jc w:val="both"/>
              <w:rPr>
                <w:rFonts w:ascii="Times New Roman" w:hAnsi="Times New Roman"/>
                <w:b/>
                <w:sz w:val="20"/>
                <w:szCs w:val="20"/>
              </w:rPr>
            </w:pPr>
          </w:p>
        </w:tc>
        <w:tc>
          <w:tcPr>
            <w:tcW w:w="1440" w:type="dxa"/>
          </w:tcPr>
          <w:p w14:paraId="6961E70D" w14:textId="77777777" w:rsidR="00E60199" w:rsidRPr="00661B8A" w:rsidRDefault="00E60199" w:rsidP="00386A33">
            <w:pPr>
              <w:autoSpaceDE w:val="0"/>
              <w:autoSpaceDN w:val="0"/>
              <w:adjustRightInd w:val="0"/>
              <w:spacing w:after="0" w:line="240" w:lineRule="auto"/>
              <w:jc w:val="center"/>
              <w:rPr>
                <w:rFonts w:ascii="Times New Roman" w:hAnsi="Times New Roman"/>
                <w:b/>
                <w:sz w:val="20"/>
                <w:szCs w:val="20"/>
              </w:rPr>
            </w:pPr>
            <w:r w:rsidRPr="00661B8A">
              <w:rPr>
                <w:rFonts w:ascii="Times New Roman" w:hAnsi="Times New Roman"/>
                <w:b/>
                <w:sz w:val="20"/>
                <w:szCs w:val="20"/>
              </w:rPr>
              <w:t>Yes (n=21)</w:t>
            </w:r>
          </w:p>
        </w:tc>
        <w:tc>
          <w:tcPr>
            <w:tcW w:w="1350" w:type="dxa"/>
          </w:tcPr>
          <w:p w14:paraId="6BE9C98B" w14:textId="77777777" w:rsidR="00E60199" w:rsidRPr="00661B8A" w:rsidRDefault="00E60199" w:rsidP="00386A33">
            <w:pPr>
              <w:autoSpaceDE w:val="0"/>
              <w:autoSpaceDN w:val="0"/>
              <w:adjustRightInd w:val="0"/>
              <w:spacing w:after="0" w:line="240" w:lineRule="auto"/>
              <w:jc w:val="center"/>
              <w:rPr>
                <w:rFonts w:ascii="Times New Roman" w:hAnsi="Times New Roman"/>
                <w:b/>
                <w:sz w:val="20"/>
                <w:szCs w:val="20"/>
              </w:rPr>
            </w:pPr>
            <w:r w:rsidRPr="00661B8A">
              <w:rPr>
                <w:rFonts w:ascii="Times New Roman" w:hAnsi="Times New Roman"/>
                <w:b/>
                <w:sz w:val="20"/>
                <w:szCs w:val="20"/>
              </w:rPr>
              <w:t>No (n=68)</w:t>
            </w:r>
          </w:p>
        </w:tc>
      </w:tr>
      <w:tr w:rsidR="00E60199" w:rsidRPr="00661B8A" w14:paraId="25527791" w14:textId="77777777" w:rsidTr="00386A33">
        <w:tc>
          <w:tcPr>
            <w:tcW w:w="2070" w:type="dxa"/>
          </w:tcPr>
          <w:p w14:paraId="434E42D8"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Nil</w:t>
            </w:r>
          </w:p>
        </w:tc>
        <w:tc>
          <w:tcPr>
            <w:tcW w:w="1440" w:type="dxa"/>
          </w:tcPr>
          <w:p w14:paraId="2C6741D2"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13 (61.8%)</w:t>
            </w:r>
          </w:p>
        </w:tc>
        <w:tc>
          <w:tcPr>
            <w:tcW w:w="1350" w:type="dxa"/>
          </w:tcPr>
          <w:p w14:paraId="1054EE9B"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45 (66.2%)</w:t>
            </w:r>
          </w:p>
        </w:tc>
      </w:tr>
      <w:tr w:rsidR="00E60199" w:rsidRPr="00661B8A" w14:paraId="4A3BBE36" w14:textId="77777777" w:rsidTr="00386A33">
        <w:tc>
          <w:tcPr>
            <w:tcW w:w="2070" w:type="dxa"/>
          </w:tcPr>
          <w:p w14:paraId="67C1C58C"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Abdominal wall cut</w:t>
            </w:r>
          </w:p>
        </w:tc>
        <w:tc>
          <w:tcPr>
            <w:tcW w:w="1440" w:type="dxa"/>
          </w:tcPr>
          <w:p w14:paraId="0FC47DD4"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w:t>
            </w:r>
          </w:p>
        </w:tc>
        <w:tc>
          <w:tcPr>
            <w:tcW w:w="1350" w:type="dxa"/>
          </w:tcPr>
          <w:p w14:paraId="001BEC0F"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2 (2.9%)</w:t>
            </w:r>
          </w:p>
        </w:tc>
      </w:tr>
      <w:tr w:rsidR="00E60199" w:rsidRPr="00661B8A" w14:paraId="478D6357" w14:textId="77777777" w:rsidTr="00386A33">
        <w:tc>
          <w:tcPr>
            <w:tcW w:w="2070" w:type="dxa"/>
          </w:tcPr>
          <w:p w14:paraId="70FCF163"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Anterior abdomen wall</w:t>
            </w:r>
          </w:p>
        </w:tc>
        <w:tc>
          <w:tcPr>
            <w:tcW w:w="1440" w:type="dxa"/>
          </w:tcPr>
          <w:p w14:paraId="32C54E0A"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w:t>
            </w:r>
          </w:p>
        </w:tc>
        <w:tc>
          <w:tcPr>
            <w:tcW w:w="1350" w:type="dxa"/>
          </w:tcPr>
          <w:p w14:paraId="564F9ED6"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2 (2.9%)</w:t>
            </w:r>
          </w:p>
        </w:tc>
      </w:tr>
      <w:tr w:rsidR="00E60199" w:rsidRPr="00661B8A" w14:paraId="7E8E3ECA" w14:textId="77777777" w:rsidTr="00386A33">
        <w:tc>
          <w:tcPr>
            <w:tcW w:w="2070" w:type="dxa"/>
          </w:tcPr>
          <w:p w14:paraId="1628D427"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Humorous fracture</w:t>
            </w:r>
          </w:p>
        </w:tc>
        <w:tc>
          <w:tcPr>
            <w:tcW w:w="1440" w:type="dxa"/>
          </w:tcPr>
          <w:p w14:paraId="375FA3F3"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w:t>
            </w:r>
          </w:p>
        </w:tc>
        <w:tc>
          <w:tcPr>
            <w:tcW w:w="1350" w:type="dxa"/>
          </w:tcPr>
          <w:p w14:paraId="6B217B90"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1 (1.5%)</w:t>
            </w:r>
          </w:p>
        </w:tc>
      </w:tr>
      <w:tr w:rsidR="00E60199" w:rsidRPr="00661B8A" w14:paraId="0ED4F31C" w14:textId="77777777" w:rsidTr="00386A33">
        <w:tc>
          <w:tcPr>
            <w:tcW w:w="2070" w:type="dxa"/>
          </w:tcPr>
          <w:p w14:paraId="320BD8C6"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Liver laceration</w:t>
            </w:r>
          </w:p>
        </w:tc>
        <w:tc>
          <w:tcPr>
            <w:tcW w:w="1440" w:type="dxa"/>
          </w:tcPr>
          <w:p w14:paraId="0B87F47B"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6 (28.6%)</w:t>
            </w:r>
          </w:p>
        </w:tc>
        <w:tc>
          <w:tcPr>
            <w:tcW w:w="1350" w:type="dxa"/>
          </w:tcPr>
          <w:p w14:paraId="79BAD045"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6 (8.9%)</w:t>
            </w:r>
          </w:p>
        </w:tc>
      </w:tr>
      <w:tr w:rsidR="00E60199" w:rsidRPr="00661B8A" w14:paraId="02E31D8A" w14:textId="77777777" w:rsidTr="00386A33">
        <w:tc>
          <w:tcPr>
            <w:tcW w:w="2070" w:type="dxa"/>
          </w:tcPr>
          <w:p w14:paraId="1A7F3F62"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Mesenteric tear</w:t>
            </w:r>
          </w:p>
        </w:tc>
        <w:tc>
          <w:tcPr>
            <w:tcW w:w="1440" w:type="dxa"/>
          </w:tcPr>
          <w:p w14:paraId="1EAF4DA6"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w:t>
            </w:r>
          </w:p>
        </w:tc>
        <w:tc>
          <w:tcPr>
            <w:tcW w:w="1350" w:type="dxa"/>
          </w:tcPr>
          <w:p w14:paraId="464291E0"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2 (2.9%)</w:t>
            </w:r>
          </w:p>
        </w:tc>
      </w:tr>
      <w:tr w:rsidR="00E60199" w:rsidRPr="00661B8A" w14:paraId="7EE7683E" w14:textId="77777777" w:rsidTr="00386A33">
        <w:tc>
          <w:tcPr>
            <w:tcW w:w="2070" w:type="dxa"/>
          </w:tcPr>
          <w:p w14:paraId="5DF0DE78"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Multiple bone fracture</w:t>
            </w:r>
          </w:p>
        </w:tc>
        <w:tc>
          <w:tcPr>
            <w:tcW w:w="1440" w:type="dxa"/>
          </w:tcPr>
          <w:p w14:paraId="7C93894B"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w:t>
            </w:r>
          </w:p>
        </w:tc>
        <w:tc>
          <w:tcPr>
            <w:tcW w:w="1350" w:type="dxa"/>
          </w:tcPr>
          <w:p w14:paraId="43070213"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1 (1.5%)</w:t>
            </w:r>
          </w:p>
        </w:tc>
      </w:tr>
      <w:tr w:rsidR="00E60199" w:rsidRPr="00661B8A" w14:paraId="6D9EE174" w14:textId="77777777" w:rsidTr="00386A33">
        <w:tc>
          <w:tcPr>
            <w:tcW w:w="2070" w:type="dxa"/>
          </w:tcPr>
          <w:p w14:paraId="0E970E75"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Multiple ribs fracture</w:t>
            </w:r>
          </w:p>
        </w:tc>
        <w:tc>
          <w:tcPr>
            <w:tcW w:w="1440" w:type="dxa"/>
          </w:tcPr>
          <w:p w14:paraId="541262C3"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2 (9.6%)</w:t>
            </w:r>
          </w:p>
        </w:tc>
        <w:tc>
          <w:tcPr>
            <w:tcW w:w="1350" w:type="dxa"/>
          </w:tcPr>
          <w:p w14:paraId="6063BEE3"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w:t>
            </w:r>
          </w:p>
        </w:tc>
      </w:tr>
      <w:tr w:rsidR="00E60199" w:rsidRPr="00661B8A" w14:paraId="11C8335D" w14:textId="77777777" w:rsidTr="00386A33">
        <w:tc>
          <w:tcPr>
            <w:tcW w:w="2070" w:type="dxa"/>
          </w:tcPr>
          <w:p w14:paraId="033C1AED"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Skin abrasions</w:t>
            </w:r>
          </w:p>
        </w:tc>
        <w:tc>
          <w:tcPr>
            <w:tcW w:w="1440" w:type="dxa"/>
          </w:tcPr>
          <w:p w14:paraId="33E1AC46"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w:t>
            </w:r>
          </w:p>
        </w:tc>
        <w:tc>
          <w:tcPr>
            <w:tcW w:w="1350" w:type="dxa"/>
          </w:tcPr>
          <w:p w14:paraId="739AB96B"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1 (1.5%)</w:t>
            </w:r>
          </w:p>
        </w:tc>
      </w:tr>
      <w:tr w:rsidR="00E60199" w:rsidRPr="00661B8A" w14:paraId="15D05372" w14:textId="77777777" w:rsidTr="00386A33">
        <w:tc>
          <w:tcPr>
            <w:tcW w:w="2070" w:type="dxa"/>
          </w:tcPr>
          <w:p w14:paraId="48672311"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Splenic injury</w:t>
            </w:r>
          </w:p>
        </w:tc>
        <w:tc>
          <w:tcPr>
            <w:tcW w:w="1440" w:type="dxa"/>
          </w:tcPr>
          <w:p w14:paraId="37B92A6E"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w:t>
            </w:r>
          </w:p>
        </w:tc>
        <w:tc>
          <w:tcPr>
            <w:tcW w:w="1350" w:type="dxa"/>
          </w:tcPr>
          <w:p w14:paraId="559D7CFA"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6 (8.8%)</w:t>
            </w:r>
          </w:p>
        </w:tc>
      </w:tr>
      <w:tr w:rsidR="00E60199" w:rsidRPr="00661B8A" w14:paraId="57163906" w14:textId="77777777" w:rsidTr="00386A33">
        <w:tc>
          <w:tcPr>
            <w:tcW w:w="2070" w:type="dxa"/>
          </w:tcPr>
          <w:p w14:paraId="741E00F8"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Tibia fracture</w:t>
            </w:r>
          </w:p>
        </w:tc>
        <w:tc>
          <w:tcPr>
            <w:tcW w:w="1440" w:type="dxa"/>
          </w:tcPr>
          <w:p w14:paraId="3E183204"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w:t>
            </w:r>
          </w:p>
        </w:tc>
        <w:tc>
          <w:tcPr>
            <w:tcW w:w="1350" w:type="dxa"/>
          </w:tcPr>
          <w:p w14:paraId="41438A1C"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2 (2.9%)</w:t>
            </w:r>
          </w:p>
        </w:tc>
      </w:tr>
    </w:tbl>
    <w:p w14:paraId="1A0B700A" w14:textId="77777777" w:rsidR="007D1E09" w:rsidRDefault="00E60199" w:rsidP="007D1E09">
      <w:pPr>
        <w:autoSpaceDE w:val="0"/>
        <w:autoSpaceDN w:val="0"/>
        <w:adjustRightInd w:val="0"/>
        <w:spacing w:after="0" w:line="240" w:lineRule="auto"/>
        <w:jc w:val="both"/>
        <w:rPr>
          <w:rFonts w:ascii="Times New Roman" w:hAnsi="Times New Roman"/>
          <w:sz w:val="18"/>
          <w:szCs w:val="20"/>
        </w:rPr>
      </w:pPr>
      <w:r w:rsidRPr="00F07852">
        <w:rPr>
          <w:rFonts w:ascii="Times New Roman" w:hAnsi="Times New Roman"/>
          <w:sz w:val="18"/>
          <w:szCs w:val="20"/>
        </w:rPr>
        <w:t>Chi square value = 16.412</w:t>
      </w:r>
      <w:r w:rsidRPr="00F07852">
        <w:rPr>
          <w:rFonts w:ascii="Times New Roman" w:hAnsi="Times New Roman"/>
          <w:sz w:val="18"/>
          <w:szCs w:val="20"/>
        </w:rPr>
        <w:tab/>
      </w:r>
      <w:r w:rsidRPr="00F07852">
        <w:rPr>
          <w:rFonts w:ascii="Times New Roman" w:hAnsi="Times New Roman"/>
          <w:sz w:val="18"/>
          <w:szCs w:val="20"/>
        </w:rPr>
        <w:tab/>
        <w:t>P value = 0.088</w:t>
      </w:r>
    </w:p>
    <w:p w14:paraId="52D98777" w14:textId="43D5E668" w:rsidR="00E60199" w:rsidRPr="007D1E09" w:rsidRDefault="00E60199" w:rsidP="007D1E09">
      <w:pPr>
        <w:autoSpaceDE w:val="0"/>
        <w:autoSpaceDN w:val="0"/>
        <w:adjustRightInd w:val="0"/>
        <w:spacing w:before="120" w:after="0" w:line="240" w:lineRule="auto"/>
        <w:jc w:val="both"/>
        <w:rPr>
          <w:rFonts w:ascii="Times New Roman" w:hAnsi="Times New Roman"/>
          <w:sz w:val="18"/>
          <w:szCs w:val="20"/>
        </w:rPr>
      </w:pPr>
      <w:r w:rsidRPr="00661B8A">
        <w:rPr>
          <w:rFonts w:ascii="Times New Roman" w:hAnsi="Times New Roman"/>
          <w:b/>
          <w:color w:val="000000"/>
          <w:sz w:val="20"/>
          <w:szCs w:val="20"/>
        </w:rPr>
        <w:t>Table 5: Comparison of age according to anastomotic leakage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570"/>
        <w:gridCol w:w="1570"/>
      </w:tblGrid>
      <w:tr w:rsidR="00E60199" w:rsidRPr="00661B8A" w14:paraId="2AD94D52" w14:textId="77777777" w:rsidTr="00386A33">
        <w:tc>
          <w:tcPr>
            <w:tcW w:w="1548" w:type="dxa"/>
            <w:vMerge w:val="restart"/>
            <w:vAlign w:val="center"/>
          </w:tcPr>
          <w:p w14:paraId="7E2EBF63" w14:textId="77777777" w:rsidR="00E60199" w:rsidRPr="00661B8A" w:rsidRDefault="00E60199" w:rsidP="00386A33">
            <w:pPr>
              <w:autoSpaceDE w:val="0"/>
              <w:autoSpaceDN w:val="0"/>
              <w:adjustRightInd w:val="0"/>
              <w:spacing w:after="0" w:line="240" w:lineRule="auto"/>
              <w:rPr>
                <w:rFonts w:ascii="Times New Roman" w:hAnsi="Times New Roman"/>
                <w:b/>
                <w:sz w:val="20"/>
                <w:szCs w:val="20"/>
              </w:rPr>
            </w:pPr>
            <w:r w:rsidRPr="00661B8A">
              <w:rPr>
                <w:rFonts w:ascii="Times New Roman" w:hAnsi="Times New Roman"/>
                <w:b/>
                <w:sz w:val="20"/>
                <w:szCs w:val="20"/>
              </w:rPr>
              <w:t>Age (years)</w:t>
            </w:r>
          </w:p>
        </w:tc>
        <w:tc>
          <w:tcPr>
            <w:tcW w:w="3312" w:type="dxa"/>
            <w:gridSpan w:val="2"/>
          </w:tcPr>
          <w:p w14:paraId="62712D07" w14:textId="77777777" w:rsidR="00E60199" w:rsidRPr="00661B8A" w:rsidRDefault="00E60199" w:rsidP="00386A33">
            <w:pPr>
              <w:autoSpaceDE w:val="0"/>
              <w:autoSpaceDN w:val="0"/>
              <w:adjustRightInd w:val="0"/>
              <w:spacing w:after="0" w:line="240" w:lineRule="auto"/>
              <w:jc w:val="center"/>
              <w:rPr>
                <w:rFonts w:ascii="Times New Roman" w:hAnsi="Times New Roman"/>
                <w:b/>
                <w:sz w:val="20"/>
                <w:szCs w:val="20"/>
              </w:rPr>
            </w:pPr>
            <w:r w:rsidRPr="00661B8A">
              <w:rPr>
                <w:rFonts w:ascii="Times New Roman" w:hAnsi="Times New Roman"/>
                <w:b/>
                <w:sz w:val="20"/>
                <w:szCs w:val="20"/>
              </w:rPr>
              <w:t>Leakage</w:t>
            </w:r>
          </w:p>
        </w:tc>
      </w:tr>
      <w:tr w:rsidR="00E60199" w:rsidRPr="00661B8A" w14:paraId="2250D636" w14:textId="77777777" w:rsidTr="00386A33">
        <w:tc>
          <w:tcPr>
            <w:tcW w:w="1548" w:type="dxa"/>
            <w:vMerge/>
          </w:tcPr>
          <w:p w14:paraId="6D780C37" w14:textId="77777777" w:rsidR="00E60199" w:rsidRPr="00661B8A" w:rsidRDefault="00E60199" w:rsidP="00386A33">
            <w:pPr>
              <w:autoSpaceDE w:val="0"/>
              <w:autoSpaceDN w:val="0"/>
              <w:adjustRightInd w:val="0"/>
              <w:spacing w:after="0" w:line="240" w:lineRule="auto"/>
              <w:jc w:val="both"/>
              <w:rPr>
                <w:rFonts w:ascii="Times New Roman" w:hAnsi="Times New Roman"/>
                <w:b/>
                <w:sz w:val="20"/>
                <w:szCs w:val="20"/>
              </w:rPr>
            </w:pPr>
          </w:p>
        </w:tc>
        <w:tc>
          <w:tcPr>
            <w:tcW w:w="1656" w:type="dxa"/>
          </w:tcPr>
          <w:p w14:paraId="31799A7C" w14:textId="77777777" w:rsidR="00E60199" w:rsidRPr="00661B8A" w:rsidRDefault="00E60199" w:rsidP="00386A33">
            <w:pPr>
              <w:autoSpaceDE w:val="0"/>
              <w:autoSpaceDN w:val="0"/>
              <w:adjustRightInd w:val="0"/>
              <w:spacing w:after="0" w:line="240" w:lineRule="auto"/>
              <w:jc w:val="center"/>
              <w:rPr>
                <w:rFonts w:ascii="Times New Roman" w:hAnsi="Times New Roman"/>
                <w:b/>
                <w:sz w:val="20"/>
                <w:szCs w:val="20"/>
              </w:rPr>
            </w:pPr>
            <w:r w:rsidRPr="00661B8A">
              <w:rPr>
                <w:rFonts w:ascii="Times New Roman" w:hAnsi="Times New Roman"/>
                <w:b/>
                <w:sz w:val="20"/>
                <w:szCs w:val="20"/>
              </w:rPr>
              <w:t>Yes (n=21)</w:t>
            </w:r>
          </w:p>
        </w:tc>
        <w:tc>
          <w:tcPr>
            <w:tcW w:w="1656" w:type="dxa"/>
          </w:tcPr>
          <w:p w14:paraId="21284E4E" w14:textId="77777777" w:rsidR="00E60199" w:rsidRPr="00661B8A" w:rsidRDefault="00E60199" w:rsidP="00386A33">
            <w:pPr>
              <w:autoSpaceDE w:val="0"/>
              <w:autoSpaceDN w:val="0"/>
              <w:adjustRightInd w:val="0"/>
              <w:spacing w:after="0" w:line="240" w:lineRule="auto"/>
              <w:jc w:val="center"/>
              <w:rPr>
                <w:rFonts w:ascii="Times New Roman" w:hAnsi="Times New Roman"/>
                <w:b/>
                <w:sz w:val="20"/>
                <w:szCs w:val="20"/>
              </w:rPr>
            </w:pPr>
            <w:r w:rsidRPr="00661B8A">
              <w:rPr>
                <w:rFonts w:ascii="Times New Roman" w:hAnsi="Times New Roman"/>
                <w:b/>
                <w:sz w:val="20"/>
                <w:szCs w:val="20"/>
              </w:rPr>
              <w:t>No (n=68)</w:t>
            </w:r>
          </w:p>
        </w:tc>
      </w:tr>
      <w:tr w:rsidR="00E60199" w:rsidRPr="00661B8A" w14:paraId="111D8A5D" w14:textId="77777777" w:rsidTr="00386A33">
        <w:tc>
          <w:tcPr>
            <w:tcW w:w="1548" w:type="dxa"/>
          </w:tcPr>
          <w:p w14:paraId="1236A139"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22 – 30</w:t>
            </w:r>
          </w:p>
        </w:tc>
        <w:tc>
          <w:tcPr>
            <w:tcW w:w="1656" w:type="dxa"/>
          </w:tcPr>
          <w:p w14:paraId="54D3C5BF"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4 (19%)</w:t>
            </w:r>
          </w:p>
        </w:tc>
        <w:tc>
          <w:tcPr>
            <w:tcW w:w="1656" w:type="dxa"/>
          </w:tcPr>
          <w:p w14:paraId="5B561983"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22 (32.4%)</w:t>
            </w:r>
          </w:p>
        </w:tc>
      </w:tr>
      <w:tr w:rsidR="00E60199" w:rsidRPr="00661B8A" w14:paraId="7A6F559C" w14:textId="77777777" w:rsidTr="00386A33">
        <w:tc>
          <w:tcPr>
            <w:tcW w:w="1548" w:type="dxa"/>
          </w:tcPr>
          <w:p w14:paraId="3551C81C"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31 – 40</w:t>
            </w:r>
          </w:p>
        </w:tc>
        <w:tc>
          <w:tcPr>
            <w:tcW w:w="1656" w:type="dxa"/>
          </w:tcPr>
          <w:p w14:paraId="1D76A81A"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7 (33.4%)</w:t>
            </w:r>
          </w:p>
        </w:tc>
        <w:tc>
          <w:tcPr>
            <w:tcW w:w="1656" w:type="dxa"/>
          </w:tcPr>
          <w:p w14:paraId="6C1B9D52"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21 (30.8%)</w:t>
            </w:r>
          </w:p>
        </w:tc>
      </w:tr>
      <w:tr w:rsidR="00E60199" w:rsidRPr="00661B8A" w14:paraId="6B37BE46" w14:textId="77777777" w:rsidTr="00386A33">
        <w:tc>
          <w:tcPr>
            <w:tcW w:w="1548" w:type="dxa"/>
          </w:tcPr>
          <w:p w14:paraId="1C344792" w14:textId="77777777" w:rsidR="00E60199" w:rsidRPr="00661B8A" w:rsidRDefault="00E60199" w:rsidP="00386A33">
            <w:pPr>
              <w:autoSpaceDE w:val="0"/>
              <w:autoSpaceDN w:val="0"/>
              <w:adjustRightInd w:val="0"/>
              <w:spacing w:after="0" w:line="240" w:lineRule="auto"/>
              <w:jc w:val="both"/>
              <w:rPr>
                <w:rFonts w:ascii="Times New Roman" w:hAnsi="Times New Roman"/>
                <w:sz w:val="20"/>
                <w:szCs w:val="20"/>
              </w:rPr>
            </w:pPr>
            <w:r w:rsidRPr="00661B8A">
              <w:rPr>
                <w:rFonts w:ascii="Times New Roman" w:hAnsi="Times New Roman"/>
                <w:sz w:val="20"/>
                <w:szCs w:val="20"/>
              </w:rPr>
              <w:t>41 – 50</w:t>
            </w:r>
          </w:p>
        </w:tc>
        <w:tc>
          <w:tcPr>
            <w:tcW w:w="1656" w:type="dxa"/>
          </w:tcPr>
          <w:p w14:paraId="1CAA764C"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10 (47.6%)</w:t>
            </w:r>
          </w:p>
        </w:tc>
        <w:tc>
          <w:tcPr>
            <w:tcW w:w="1656" w:type="dxa"/>
          </w:tcPr>
          <w:p w14:paraId="5288F54F" w14:textId="77777777" w:rsidR="00E60199" w:rsidRPr="00661B8A" w:rsidRDefault="00E60199" w:rsidP="00386A33">
            <w:pPr>
              <w:autoSpaceDE w:val="0"/>
              <w:autoSpaceDN w:val="0"/>
              <w:adjustRightInd w:val="0"/>
              <w:spacing w:after="0" w:line="240" w:lineRule="auto"/>
              <w:jc w:val="center"/>
              <w:rPr>
                <w:rFonts w:ascii="Times New Roman" w:hAnsi="Times New Roman"/>
                <w:sz w:val="20"/>
                <w:szCs w:val="20"/>
              </w:rPr>
            </w:pPr>
            <w:r w:rsidRPr="00661B8A">
              <w:rPr>
                <w:rFonts w:ascii="Times New Roman" w:hAnsi="Times New Roman"/>
                <w:sz w:val="20"/>
                <w:szCs w:val="20"/>
              </w:rPr>
              <w:t>25 (36.8%)</w:t>
            </w:r>
          </w:p>
        </w:tc>
      </w:tr>
    </w:tbl>
    <w:p w14:paraId="62B558CB" w14:textId="548B76D1" w:rsidR="00E60199" w:rsidRPr="00832832" w:rsidRDefault="00E60199" w:rsidP="00DF5C5B">
      <w:pPr>
        <w:shd w:val="clear" w:color="auto" w:fill="FFFFFF"/>
        <w:spacing w:after="0" w:line="240" w:lineRule="auto"/>
        <w:jc w:val="both"/>
        <w:rPr>
          <w:rFonts w:ascii="Times New Roman" w:hAnsi="Times New Roman"/>
          <w:b/>
          <w:bCs/>
          <w:sz w:val="18"/>
          <w:szCs w:val="20"/>
        </w:rPr>
      </w:pPr>
      <w:r w:rsidRPr="00832832">
        <w:rPr>
          <w:rFonts w:ascii="Times New Roman" w:hAnsi="Times New Roman"/>
          <w:sz w:val="18"/>
          <w:szCs w:val="20"/>
        </w:rPr>
        <w:t>Chi square value = 1.484</w:t>
      </w:r>
      <w:r w:rsidRPr="00832832">
        <w:rPr>
          <w:rFonts w:ascii="Times New Roman" w:hAnsi="Times New Roman"/>
          <w:sz w:val="18"/>
          <w:szCs w:val="20"/>
        </w:rPr>
        <w:tab/>
      </w:r>
      <w:r w:rsidRPr="00832832">
        <w:rPr>
          <w:rFonts w:ascii="Times New Roman" w:hAnsi="Times New Roman"/>
          <w:sz w:val="18"/>
          <w:szCs w:val="20"/>
        </w:rPr>
        <w:tab/>
        <w:t>P value = 0.476</w:t>
      </w:r>
    </w:p>
    <w:p w14:paraId="22C38B2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t>DISCUSSION</w:t>
      </w:r>
    </w:p>
    <w:p w14:paraId="40081192" w14:textId="4E6CF999" w:rsidR="00832832" w:rsidRPr="00832832" w:rsidRDefault="00832832" w:rsidP="00832832">
      <w:pPr>
        <w:spacing w:after="0" w:line="240" w:lineRule="auto"/>
        <w:jc w:val="both"/>
        <w:rPr>
          <w:rFonts w:ascii="Times New Roman" w:hAnsi="Times New Roman"/>
          <w:color w:val="000000" w:themeColor="text1"/>
          <w:sz w:val="20"/>
          <w:szCs w:val="20"/>
        </w:rPr>
      </w:pPr>
      <w:r w:rsidRPr="00832832">
        <w:rPr>
          <w:rFonts w:ascii="Times New Roman" w:hAnsi="Times New Roman"/>
          <w:color w:val="000000" w:themeColor="text1"/>
          <w:sz w:val="20"/>
          <w:szCs w:val="20"/>
        </w:rPr>
        <w:t>Primary repair is increasingly being used to treat all penetrating colon injuries, regardless of where they occurred. In recently published literatures</w:t>
      </w:r>
      <w:r w:rsidRPr="00832832">
        <w:rPr>
          <w:rFonts w:ascii="Times New Roman" w:hAnsi="Times New Roman"/>
          <w:color w:val="000000" w:themeColor="text1"/>
          <w:sz w:val="20"/>
          <w:szCs w:val="20"/>
          <w:vertAlign w:val="superscript"/>
        </w:rPr>
        <w:t>16-18</w:t>
      </w:r>
      <w:r w:rsidRPr="00832832">
        <w:rPr>
          <w:rFonts w:ascii="Times New Roman" w:hAnsi="Times New Roman"/>
          <w:color w:val="000000" w:themeColor="text1"/>
          <w:sz w:val="20"/>
          <w:szCs w:val="20"/>
        </w:rPr>
        <w:t xml:space="preserve">, the contribution of primary repair in treating colon wounds was examined. It was noted that in situations where general and local trauma was of comparable intensity </w:t>
      </w:r>
      <w:r w:rsidRPr="00832832">
        <w:rPr>
          <w:rFonts w:ascii="Times New Roman" w:hAnsi="Times New Roman"/>
          <w:color w:val="000000" w:themeColor="text1"/>
          <w:sz w:val="20"/>
          <w:szCs w:val="20"/>
        </w:rPr>
        <w:lastRenderedPageBreak/>
        <w:t>and intraoperative observations were comparable, primary repair performed better in terms of deaths, complications and final success. Only damaging colon injuries that require resection still raise debate over whether a diversion technique should be used to treat them. Three risk factors for intra</w:t>
      </w:r>
      <w:r>
        <w:rPr>
          <w:rFonts w:ascii="Times New Roman" w:hAnsi="Times New Roman"/>
          <w:color w:val="000000" w:themeColor="text1"/>
          <w:sz w:val="20"/>
          <w:szCs w:val="20"/>
        </w:rPr>
        <w:t>-</w:t>
      </w:r>
      <w:r w:rsidRPr="00832832">
        <w:rPr>
          <w:rFonts w:ascii="Times New Roman" w:hAnsi="Times New Roman"/>
          <w:color w:val="000000" w:themeColor="text1"/>
          <w:sz w:val="20"/>
          <w:szCs w:val="20"/>
        </w:rPr>
        <w:t>abdominal septic sequelae, irrespective of the manner of repair, were found in the AAST data of a prospective multicenter trial.</w:t>
      </w:r>
      <w:r w:rsidRPr="00832832">
        <w:rPr>
          <w:rFonts w:ascii="Times New Roman" w:hAnsi="Times New Roman"/>
          <w:color w:val="000000" w:themeColor="text1"/>
          <w:sz w:val="20"/>
          <w:szCs w:val="20"/>
          <w:vertAlign w:val="superscript"/>
        </w:rPr>
        <w:t>19</w:t>
      </w:r>
      <w:r w:rsidRPr="00832832">
        <w:rPr>
          <w:rFonts w:ascii="Times New Roman" w:hAnsi="Times New Roman"/>
          <w:color w:val="000000" w:themeColor="text1"/>
          <w:sz w:val="20"/>
          <w:szCs w:val="20"/>
        </w:rPr>
        <w:t xml:space="preserve"> severe faecal contamination, single antibiotic prophylaxis, and transfusion of more than four blood units.</w:t>
      </w:r>
    </w:p>
    <w:p w14:paraId="1096F19F" w14:textId="77777777" w:rsidR="00832832" w:rsidRPr="00832832" w:rsidRDefault="00832832" w:rsidP="00832832">
      <w:pPr>
        <w:spacing w:after="0" w:line="240" w:lineRule="auto"/>
        <w:jc w:val="both"/>
        <w:rPr>
          <w:rFonts w:ascii="Times New Roman" w:hAnsi="Times New Roman"/>
          <w:color w:val="000000" w:themeColor="text1"/>
          <w:sz w:val="20"/>
          <w:szCs w:val="20"/>
        </w:rPr>
      </w:pPr>
      <w:r w:rsidRPr="00832832">
        <w:rPr>
          <w:rFonts w:ascii="Times New Roman" w:hAnsi="Times New Roman"/>
          <w:color w:val="000000" w:themeColor="text1"/>
          <w:sz w:val="20"/>
          <w:szCs w:val="20"/>
        </w:rPr>
        <w:t>But the definition of "severe faecal contamination" is still debatable. Comparing information from some of the other findings, Dente et al</w:t>
      </w:r>
      <w:r w:rsidRPr="00832832">
        <w:rPr>
          <w:rFonts w:ascii="Times New Roman" w:hAnsi="Times New Roman"/>
          <w:color w:val="000000" w:themeColor="text1"/>
          <w:sz w:val="20"/>
          <w:szCs w:val="20"/>
          <w:vertAlign w:val="superscript"/>
        </w:rPr>
        <w:t>20</w:t>
      </w:r>
      <w:r w:rsidRPr="00832832">
        <w:rPr>
          <w:rFonts w:ascii="Times New Roman" w:hAnsi="Times New Roman"/>
          <w:color w:val="000000" w:themeColor="text1"/>
          <w:sz w:val="20"/>
          <w:szCs w:val="20"/>
        </w:rPr>
        <w:t xml:space="preserve"> emphasized that there are just two primary clear indicators for conducting a 2-stage process: severe colon edema (because of whichever reason) and doubtful colon blood supply. However, even these three criteria could not be strongly supported by the data.</w:t>
      </w:r>
    </w:p>
    <w:p w14:paraId="09C0239A" w14:textId="77777777" w:rsidR="00832832" w:rsidRPr="00832832" w:rsidRDefault="00832832" w:rsidP="00832832">
      <w:pPr>
        <w:spacing w:after="0" w:line="240" w:lineRule="auto"/>
        <w:jc w:val="both"/>
        <w:rPr>
          <w:rFonts w:ascii="Times New Roman" w:hAnsi="Times New Roman"/>
          <w:color w:val="000000" w:themeColor="text1"/>
          <w:sz w:val="20"/>
          <w:szCs w:val="20"/>
        </w:rPr>
      </w:pPr>
      <w:r w:rsidRPr="00832832">
        <w:rPr>
          <w:rFonts w:ascii="Times New Roman" w:hAnsi="Times New Roman"/>
          <w:color w:val="000000" w:themeColor="text1"/>
          <w:sz w:val="20"/>
          <w:szCs w:val="20"/>
        </w:rPr>
        <w:t>In the present study, the mean of the age group of subjects of the patients was 36.69±8.325. The age group ranged between 22 and 50 years, and the frequency of gender of the subjects, 63(70.8%), was male, and 26(29.2%) were female. The frequency of the type of trauma, subjects presented with firearm injury to the abdomen with colon were 38(42.7%), with blunt abdominal trauma were 20(22.5%), stab wound abdomen was 20(22.5%) while another type of traumas, e.g. fall from the roof and RTA etc., were 1 to 4% and frequency of the type of trauma associated injury, patients presented with no traumas associated injury were 58(65.2%), liver laceration 12(13.5%), splenic injury 6(6.7%) while other associated injuries, e.g. multiple fracture mesenteric tear etc. were 1 (2%.) The anastomotic Leakage, 21(23.6%) patients found postoperative complication, i.e. anastomotic Leakage, while the remaining 68(76.4%) found no leakage; results of our study has been supported by Schnuriger et al</w:t>
      </w:r>
      <w:r w:rsidRPr="00832832">
        <w:rPr>
          <w:rFonts w:ascii="Times New Roman" w:hAnsi="Times New Roman"/>
          <w:color w:val="000000" w:themeColor="text1"/>
          <w:sz w:val="20"/>
          <w:szCs w:val="20"/>
          <w:vertAlign w:val="superscript"/>
        </w:rPr>
        <w:t>3</w:t>
      </w:r>
      <w:r w:rsidRPr="00832832">
        <w:rPr>
          <w:rFonts w:ascii="Times New Roman" w:hAnsi="Times New Roman"/>
          <w:color w:val="000000" w:themeColor="text1"/>
          <w:sz w:val="20"/>
          <w:szCs w:val="20"/>
        </w:rPr>
        <w:t xml:space="preserve"> 13% as its anastomotic Leakage shows from the age group of 13 to 30 years as our sample was 89 patients aged 22 to 50 years. This minor difference may be due to this reason, and frequency of age stratification, 26(29.2%) subjects were found between 22 to 30 years, 28(31.5%) included from 31 to 40 years, and 35(39.3%) were included, from 41 to 50 years of age.</w:t>
      </w:r>
    </w:p>
    <w:p w14:paraId="2B227F52" w14:textId="77777777" w:rsidR="00832832" w:rsidRPr="00832832" w:rsidRDefault="00832832" w:rsidP="00832832">
      <w:pPr>
        <w:spacing w:after="0" w:line="240" w:lineRule="auto"/>
        <w:jc w:val="both"/>
        <w:rPr>
          <w:rFonts w:ascii="Times New Roman" w:hAnsi="Times New Roman"/>
          <w:color w:val="000000" w:themeColor="text1"/>
          <w:sz w:val="20"/>
          <w:szCs w:val="20"/>
        </w:rPr>
      </w:pPr>
      <w:r w:rsidRPr="00832832">
        <w:rPr>
          <w:rFonts w:ascii="Times New Roman" w:hAnsi="Times New Roman"/>
          <w:color w:val="000000" w:themeColor="text1"/>
          <w:sz w:val="20"/>
          <w:szCs w:val="20"/>
        </w:rPr>
        <w:t xml:space="preserve">In our study, the frequency distribution of gender concerning anastomotic Leakage, 15(23.8%) male and 6(23.1%) female patients were found to have anastomotic Leakage which supports the same results as previously shown </w:t>
      </w:r>
      <w:r w:rsidRPr="00832832">
        <w:rPr>
          <w:rFonts w:ascii="Times New Roman" w:hAnsi="Times New Roman"/>
          <w:color w:val="000000" w:themeColor="text1"/>
          <w:sz w:val="20"/>
          <w:szCs w:val="20"/>
          <w:vertAlign w:val="superscript"/>
        </w:rPr>
        <w:t>19-21</w:t>
      </w:r>
      <w:r w:rsidRPr="00832832">
        <w:rPr>
          <w:rFonts w:ascii="Times New Roman" w:hAnsi="Times New Roman"/>
          <w:color w:val="000000" w:themeColor="text1"/>
          <w:sz w:val="20"/>
          <w:szCs w:val="20"/>
        </w:rPr>
        <w:t xml:space="preserve">. The remaining 68(76.4%) from both genders were found to have no leakage. The frequency of type of trauma concerning anastomotic leakage, 13(34.2%) found with anastomotic leakage were the patients of firearm injury to the abdomen, and 2(10.0%) were with blunt abdominal trauma; this finding was not statistically significant at p=0.309 as shown in previous studies </w:t>
      </w:r>
      <w:r w:rsidRPr="00832832">
        <w:rPr>
          <w:rFonts w:ascii="Times New Roman" w:hAnsi="Times New Roman"/>
          <w:color w:val="000000" w:themeColor="text1"/>
          <w:sz w:val="20"/>
          <w:szCs w:val="20"/>
          <w:vertAlign w:val="superscript"/>
        </w:rPr>
        <w:t>21,22</w:t>
      </w:r>
    </w:p>
    <w:p w14:paraId="657B455A" w14:textId="77777777" w:rsidR="00832832" w:rsidRPr="00832832" w:rsidRDefault="00832832" w:rsidP="00832832">
      <w:pPr>
        <w:spacing w:after="0" w:line="240" w:lineRule="auto"/>
        <w:jc w:val="both"/>
        <w:rPr>
          <w:rFonts w:ascii="Times New Roman" w:hAnsi="Times New Roman"/>
          <w:color w:val="000000" w:themeColor="text1"/>
          <w:sz w:val="20"/>
          <w:szCs w:val="20"/>
        </w:rPr>
      </w:pPr>
      <w:r w:rsidRPr="00832832">
        <w:rPr>
          <w:rFonts w:ascii="Times New Roman" w:hAnsi="Times New Roman"/>
          <w:color w:val="000000" w:themeColor="text1"/>
          <w:sz w:val="20"/>
          <w:szCs w:val="20"/>
        </w:rPr>
        <w:lastRenderedPageBreak/>
        <w:t>The present research supports the previous research results and shows the frequency distribution of associated injury concerning anastomotic Leakage, 6(50%) were found with liver laceration, and 2(100.0%) were found with multiple ribs fractures; the result proved not to be statistically significant at p=0.088 and in the frequency distribution of age group in relation with anastomotic leakage, 4(15.4%) found from the age group of 22 to 30 years of, 7(25.0%) from 31 to 40 years and 10 (28.6%) included 41 to 50 years, the result proved to be not statistically significant at p=0.476. Primary repair was performed in 89 cases; this mist likely indicates an ample usage of primary repair.</w:t>
      </w:r>
      <w:r w:rsidRPr="00832832">
        <w:rPr>
          <w:rFonts w:ascii="Times New Roman" w:hAnsi="Times New Roman"/>
          <w:color w:val="000000" w:themeColor="text1"/>
          <w:sz w:val="20"/>
          <w:szCs w:val="20"/>
          <w:vertAlign w:val="superscript"/>
        </w:rPr>
        <w:t xml:space="preserve">23 </w:t>
      </w:r>
      <w:r w:rsidRPr="00832832">
        <w:rPr>
          <w:rFonts w:ascii="Times New Roman" w:hAnsi="Times New Roman"/>
          <w:color w:val="000000" w:themeColor="text1"/>
          <w:sz w:val="20"/>
          <w:szCs w:val="20"/>
        </w:rPr>
        <w:t xml:space="preserve">Traditionally, left-sided colon lesions are treated with resection and proximal colostomy, mainly when associated with intra-abdominal lesions. No convincing evidence shows a significant difference in postoperative complications when comparing right and left colon injuries </w:t>
      </w:r>
      <w:r w:rsidRPr="00832832">
        <w:rPr>
          <w:rFonts w:ascii="Times New Roman" w:hAnsi="Times New Roman"/>
          <w:color w:val="000000" w:themeColor="text1"/>
          <w:sz w:val="20"/>
          <w:szCs w:val="20"/>
          <w:vertAlign w:val="superscript"/>
        </w:rPr>
        <w:t>24</w:t>
      </w:r>
      <w:r w:rsidRPr="00832832">
        <w:rPr>
          <w:rFonts w:ascii="Times New Roman" w:hAnsi="Times New Roman"/>
          <w:color w:val="000000" w:themeColor="text1"/>
          <w:sz w:val="20"/>
          <w:szCs w:val="20"/>
        </w:rPr>
        <w:t>. A good blood supply is the cornerstone of a successful colonic anastomosis and should always be ensured when repairing colonic injuries.</w:t>
      </w:r>
    </w:p>
    <w:p w14:paraId="42BD81C0" w14:textId="34505B51" w:rsidR="00822107" w:rsidRPr="00EF6B19" w:rsidRDefault="00832832" w:rsidP="00832832">
      <w:pPr>
        <w:spacing w:after="0" w:line="240" w:lineRule="auto"/>
        <w:jc w:val="both"/>
        <w:rPr>
          <w:rFonts w:ascii="Times New Roman" w:hAnsi="Times New Roman"/>
          <w:b/>
          <w:bCs/>
          <w:sz w:val="20"/>
          <w:szCs w:val="20"/>
        </w:rPr>
      </w:pPr>
      <w:r w:rsidRPr="00832832">
        <w:rPr>
          <w:rFonts w:ascii="Times New Roman" w:hAnsi="Times New Roman"/>
          <w:color w:val="000000" w:themeColor="text1"/>
          <w:sz w:val="20"/>
          <w:szCs w:val="20"/>
        </w:rPr>
        <w:t xml:space="preserve">Higher mortality has been suggested in patients with severe abdominal injury requiring colostomy formation rather than primary colon repair or anastomosis </w:t>
      </w:r>
      <w:r w:rsidRPr="00832832">
        <w:rPr>
          <w:rFonts w:ascii="Times New Roman" w:hAnsi="Times New Roman"/>
          <w:color w:val="000000" w:themeColor="text1"/>
          <w:sz w:val="20"/>
          <w:szCs w:val="20"/>
          <w:vertAlign w:val="superscript"/>
        </w:rPr>
        <w:t>25</w:t>
      </w:r>
      <w:r w:rsidRPr="00832832">
        <w:rPr>
          <w:rFonts w:ascii="Times New Roman" w:hAnsi="Times New Roman"/>
          <w:color w:val="000000" w:themeColor="text1"/>
          <w:sz w:val="20"/>
          <w:szCs w:val="20"/>
        </w:rPr>
        <w:t xml:space="preserve">. However, current literature has shown that despite multiple intra-abdominal lesions, management of colonic lesions does not significantly affect the incidence of significant complications, particularly intra-abdominal sepsis </w:t>
      </w:r>
      <w:r w:rsidRPr="00832832">
        <w:rPr>
          <w:rFonts w:ascii="Times New Roman" w:hAnsi="Times New Roman"/>
          <w:color w:val="000000" w:themeColor="text1"/>
          <w:sz w:val="20"/>
          <w:szCs w:val="20"/>
          <w:vertAlign w:val="superscript"/>
        </w:rPr>
        <w:t>26</w:t>
      </w:r>
      <w:r w:rsidRPr="00832832">
        <w:rPr>
          <w:rFonts w:ascii="Times New Roman" w:hAnsi="Times New Roman"/>
          <w:color w:val="000000" w:themeColor="text1"/>
          <w:sz w:val="20"/>
          <w:szCs w:val="20"/>
        </w:rPr>
        <w:t>. Some studies have even suggested that bypass colostomy formation in these high-risk patients may contribute to a higher incidence of intra-abdominal sepsis</w:t>
      </w:r>
      <w:r w:rsidRPr="00832832">
        <w:rPr>
          <w:rFonts w:ascii="Times New Roman" w:hAnsi="Times New Roman"/>
          <w:color w:val="000000" w:themeColor="text1"/>
          <w:sz w:val="20"/>
          <w:szCs w:val="20"/>
          <w:vertAlign w:val="superscript"/>
        </w:rPr>
        <w:t xml:space="preserve"> 27-29</w:t>
      </w:r>
      <w:r w:rsidR="00A64D5B" w:rsidRPr="00A64D5B">
        <w:rPr>
          <w:rFonts w:ascii="Times New Roman" w:hAnsi="Times New Roman"/>
          <w:color w:val="0E101A"/>
          <w:sz w:val="20"/>
          <w:szCs w:val="20"/>
        </w:rPr>
        <w:t>.</w:t>
      </w:r>
    </w:p>
    <w:p w14:paraId="7B2779E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t>CONCLUSION</w:t>
      </w:r>
    </w:p>
    <w:p w14:paraId="3B3A663B" w14:textId="3F977BE3" w:rsidR="00257EC2" w:rsidRPr="00257EC2" w:rsidRDefault="008630B6" w:rsidP="00EF6B19">
      <w:pPr>
        <w:pStyle w:val="ListParagraph"/>
        <w:shd w:val="clear" w:color="auto" w:fill="FFFFFF"/>
        <w:spacing w:after="0" w:line="240" w:lineRule="auto"/>
        <w:ind w:left="0"/>
        <w:contextualSpacing w:val="0"/>
        <w:jc w:val="both"/>
        <w:rPr>
          <w:rFonts w:ascii="Times New Roman" w:hAnsi="Times New Roman" w:cs="Times New Roman"/>
          <w:color w:val="0E101A"/>
          <w:szCs w:val="20"/>
          <w:lang w:val="en-US"/>
        </w:rPr>
      </w:pPr>
      <w:r w:rsidRPr="00661B8A">
        <w:rPr>
          <w:rFonts w:ascii="Times New Roman" w:hAnsi="Times New Roman" w:cs="Times New Roman"/>
          <w:szCs w:val="20"/>
        </w:rPr>
        <w:t>T</w:t>
      </w:r>
      <w:r w:rsidRPr="00661B8A">
        <w:rPr>
          <w:rFonts w:ascii="Times New Roman" w:hAnsi="Times New Roman" w:cs="Times New Roman"/>
          <w:color w:val="0E101A"/>
          <w:szCs w:val="20"/>
        </w:rPr>
        <w:t>he colonic wounds continue to be a clinical issue for trauma surgeons that are both prevalent and occasionally difficult. The improvements in death rates and morbidity amply illustrate the extraordinary advancement in looking after these and similar wounds. In recent years, many evidence-based studies have enabled more proactive care, with the majority of injuries having primary repair or resection and anastomosis with an acceptable low suture line failure rate.</w:t>
      </w:r>
    </w:p>
    <w:p w14:paraId="1492F685" w14:textId="77777777" w:rsidR="0002200D" w:rsidRPr="00EF6B19" w:rsidRDefault="0002200D" w:rsidP="00EF6B19">
      <w:pPr>
        <w:pStyle w:val="Default"/>
        <w:shd w:val="clear" w:color="auto" w:fill="FFFFFF"/>
        <w:spacing w:before="120"/>
        <w:jc w:val="both"/>
        <w:rPr>
          <w:rFonts w:eastAsia="Arial"/>
          <w:b/>
          <w:color w:val="auto"/>
          <w:sz w:val="20"/>
        </w:rPr>
      </w:pPr>
      <w:r w:rsidRPr="00EF6B19">
        <w:rPr>
          <w:rFonts w:eastAsia="Arial"/>
          <w:b/>
          <w:color w:val="auto"/>
          <w:sz w:val="20"/>
        </w:rPr>
        <w:t>Author’s Contribution:</w:t>
      </w:r>
    </w:p>
    <w:tbl>
      <w:tblPr>
        <w:tblW w:w="0" w:type="auto"/>
        <w:tblInd w:w="18" w:type="dxa"/>
        <w:tblLook w:val="04A0" w:firstRow="1" w:lastRow="0" w:firstColumn="1" w:lastColumn="0" w:noHBand="0" w:noVBand="1"/>
      </w:tblPr>
      <w:tblGrid>
        <w:gridCol w:w="2430"/>
        <w:gridCol w:w="2268"/>
      </w:tblGrid>
      <w:tr w:rsidR="009051A7" w:rsidRPr="00EF6B19" w14:paraId="3E426892" w14:textId="77777777" w:rsidTr="00EC5722">
        <w:tc>
          <w:tcPr>
            <w:tcW w:w="2430" w:type="dxa"/>
          </w:tcPr>
          <w:p w14:paraId="65081AF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Concept &amp; Design of Study:</w:t>
            </w:r>
          </w:p>
        </w:tc>
        <w:tc>
          <w:tcPr>
            <w:tcW w:w="2268" w:type="dxa"/>
          </w:tcPr>
          <w:p w14:paraId="0300517A" w14:textId="308BC83F" w:rsidR="009051A7" w:rsidRPr="00EF6B19" w:rsidRDefault="00257EC2" w:rsidP="00EF6B19">
            <w:pPr>
              <w:shd w:val="clear" w:color="auto" w:fill="FFFFFF"/>
              <w:tabs>
                <w:tab w:val="left" w:pos="2610"/>
              </w:tabs>
              <w:spacing w:after="0" w:line="240" w:lineRule="auto"/>
              <w:jc w:val="both"/>
              <w:rPr>
                <w:rFonts w:ascii="Times New Roman" w:eastAsia="Arial" w:hAnsi="Times New Roman"/>
                <w:sz w:val="20"/>
              </w:rPr>
            </w:pPr>
            <w:r w:rsidRPr="00257EC2">
              <w:rPr>
                <w:rFonts w:ascii="Times New Roman" w:eastAsia="Arial" w:hAnsi="Times New Roman"/>
                <w:sz w:val="20"/>
                <w:szCs w:val="20"/>
              </w:rPr>
              <w:t>Ajmal Khan</w:t>
            </w:r>
          </w:p>
        </w:tc>
      </w:tr>
      <w:tr w:rsidR="009051A7" w:rsidRPr="00EF6B19" w14:paraId="590A2F46" w14:textId="77777777" w:rsidTr="00EC5722">
        <w:tc>
          <w:tcPr>
            <w:tcW w:w="2430" w:type="dxa"/>
          </w:tcPr>
          <w:p w14:paraId="14B28C2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Drafting:</w:t>
            </w:r>
          </w:p>
        </w:tc>
        <w:tc>
          <w:tcPr>
            <w:tcW w:w="2268" w:type="dxa"/>
          </w:tcPr>
          <w:p w14:paraId="20B84A61" w14:textId="5BD1C194" w:rsidR="009051A7" w:rsidRPr="00EF6B19" w:rsidRDefault="00257EC2" w:rsidP="00EF6B19">
            <w:pPr>
              <w:shd w:val="clear" w:color="auto" w:fill="FFFFFF"/>
              <w:tabs>
                <w:tab w:val="left" w:pos="2610"/>
              </w:tabs>
              <w:spacing w:after="0" w:line="240" w:lineRule="auto"/>
              <w:jc w:val="both"/>
              <w:rPr>
                <w:rFonts w:ascii="Times New Roman" w:eastAsia="Arial" w:hAnsi="Times New Roman"/>
                <w:sz w:val="20"/>
              </w:rPr>
            </w:pPr>
            <w:r w:rsidRPr="00257EC2">
              <w:rPr>
                <w:rFonts w:ascii="Times New Roman" w:eastAsia="Arial" w:hAnsi="Times New Roman"/>
                <w:sz w:val="20"/>
                <w:szCs w:val="20"/>
              </w:rPr>
              <w:t>Marium Khurshid, Sana Israr</w:t>
            </w:r>
          </w:p>
        </w:tc>
      </w:tr>
      <w:tr w:rsidR="009051A7" w:rsidRPr="00EF6B19" w14:paraId="39150A23" w14:textId="77777777" w:rsidTr="00EC5722">
        <w:tc>
          <w:tcPr>
            <w:tcW w:w="2430" w:type="dxa"/>
          </w:tcPr>
          <w:p w14:paraId="76C46791" w14:textId="77777777" w:rsidR="009051A7" w:rsidRPr="00EF6B19" w:rsidRDefault="005207E9"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Data Analysis:</w:t>
            </w:r>
          </w:p>
        </w:tc>
        <w:tc>
          <w:tcPr>
            <w:tcW w:w="2268" w:type="dxa"/>
          </w:tcPr>
          <w:p w14:paraId="67C62F64" w14:textId="317893F9" w:rsidR="009051A7" w:rsidRPr="00EF6B19" w:rsidRDefault="00257EC2" w:rsidP="00EF6B19">
            <w:pPr>
              <w:shd w:val="clear" w:color="auto" w:fill="FFFFFF"/>
              <w:tabs>
                <w:tab w:val="left" w:pos="2610"/>
              </w:tabs>
              <w:spacing w:after="0" w:line="240" w:lineRule="auto"/>
              <w:jc w:val="both"/>
              <w:rPr>
                <w:rFonts w:ascii="Times New Roman" w:eastAsia="Arial" w:hAnsi="Times New Roman"/>
                <w:sz w:val="20"/>
              </w:rPr>
            </w:pPr>
            <w:r w:rsidRPr="00257EC2">
              <w:rPr>
                <w:rFonts w:ascii="Times New Roman" w:eastAsia="Arial" w:hAnsi="Times New Roman"/>
                <w:sz w:val="20"/>
                <w:szCs w:val="20"/>
              </w:rPr>
              <w:t>Faryal Saeed, Kamran Khan, Ibrar Ahmed</w:t>
            </w:r>
          </w:p>
        </w:tc>
      </w:tr>
      <w:tr w:rsidR="009051A7" w:rsidRPr="00EF6B19" w14:paraId="275A3ABC" w14:textId="77777777" w:rsidTr="00EC5722">
        <w:tc>
          <w:tcPr>
            <w:tcW w:w="2430" w:type="dxa"/>
          </w:tcPr>
          <w:p w14:paraId="7732AF63" w14:textId="77777777" w:rsidR="009051A7" w:rsidRPr="00EF6B19" w:rsidRDefault="005056E2"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Revisiting Critically:</w:t>
            </w:r>
          </w:p>
        </w:tc>
        <w:tc>
          <w:tcPr>
            <w:tcW w:w="2268" w:type="dxa"/>
          </w:tcPr>
          <w:p w14:paraId="6E7F5E86" w14:textId="6D0F5FE9" w:rsidR="009051A7" w:rsidRPr="00EF6B19" w:rsidRDefault="00257EC2" w:rsidP="00257EC2">
            <w:pPr>
              <w:shd w:val="clear" w:color="auto" w:fill="FFFFFF"/>
              <w:tabs>
                <w:tab w:val="left" w:pos="2610"/>
              </w:tabs>
              <w:spacing w:after="0" w:line="240" w:lineRule="auto"/>
              <w:jc w:val="both"/>
              <w:rPr>
                <w:rFonts w:ascii="Times New Roman" w:eastAsia="Arial" w:hAnsi="Times New Roman"/>
                <w:sz w:val="20"/>
              </w:rPr>
            </w:pPr>
            <w:r w:rsidRPr="00257EC2">
              <w:rPr>
                <w:rFonts w:ascii="Times New Roman" w:eastAsia="Arial" w:hAnsi="Times New Roman"/>
                <w:sz w:val="20"/>
                <w:szCs w:val="20"/>
              </w:rPr>
              <w:t>Ajmal Khan</w:t>
            </w:r>
            <w:r>
              <w:rPr>
                <w:rFonts w:ascii="Times New Roman" w:eastAsia="Arial" w:hAnsi="Times New Roman"/>
                <w:sz w:val="20"/>
                <w:szCs w:val="20"/>
              </w:rPr>
              <w:t xml:space="preserve">, </w:t>
            </w:r>
            <w:r w:rsidRPr="00257EC2">
              <w:rPr>
                <w:rFonts w:ascii="Times New Roman" w:eastAsia="Arial" w:hAnsi="Times New Roman"/>
                <w:sz w:val="20"/>
                <w:szCs w:val="20"/>
              </w:rPr>
              <w:t>Marium Khurshid</w:t>
            </w:r>
          </w:p>
        </w:tc>
      </w:tr>
      <w:tr w:rsidR="009051A7" w:rsidRPr="00EF6B19" w14:paraId="20E4BB80" w14:textId="77777777" w:rsidTr="00EC5722">
        <w:tc>
          <w:tcPr>
            <w:tcW w:w="2430" w:type="dxa"/>
          </w:tcPr>
          <w:p w14:paraId="4B8C021B" w14:textId="77777777" w:rsidR="009051A7" w:rsidRPr="00EF6B19" w:rsidRDefault="00E4192A"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Final Approval of version:</w:t>
            </w:r>
          </w:p>
        </w:tc>
        <w:tc>
          <w:tcPr>
            <w:tcW w:w="2268" w:type="dxa"/>
          </w:tcPr>
          <w:p w14:paraId="5539AE68" w14:textId="45FF6546" w:rsidR="009051A7" w:rsidRPr="00EF6B19" w:rsidRDefault="00257EC2" w:rsidP="00EF6B19">
            <w:pPr>
              <w:shd w:val="clear" w:color="auto" w:fill="FFFFFF"/>
              <w:tabs>
                <w:tab w:val="left" w:pos="2610"/>
              </w:tabs>
              <w:spacing w:after="0" w:line="240" w:lineRule="auto"/>
              <w:jc w:val="both"/>
              <w:rPr>
                <w:rFonts w:ascii="Times New Roman" w:eastAsia="Arial" w:hAnsi="Times New Roman"/>
                <w:sz w:val="20"/>
              </w:rPr>
            </w:pPr>
            <w:r w:rsidRPr="00257EC2">
              <w:rPr>
                <w:rFonts w:ascii="Times New Roman" w:eastAsia="Arial" w:hAnsi="Times New Roman"/>
                <w:sz w:val="20"/>
                <w:szCs w:val="20"/>
              </w:rPr>
              <w:t>Ajmal Khan</w:t>
            </w:r>
          </w:p>
        </w:tc>
      </w:tr>
    </w:tbl>
    <w:p w14:paraId="01F9F0AD" w14:textId="77777777" w:rsidR="00822107" w:rsidRPr="00EF6B19" w:rsidRDefault="00822107" w:rsidP="00EF6B19">
      <w:pPr>
        <w:shd w:val="clear" w:color="auto" w:fill="FFFFFF"/>
        <w:spacing w:before="120" w:after="0" w:line="240" w:lineRule="auto"/>
        <w:jc w:val="both"/>
        <w:rPr>
          <w:rFonts w:ascii="Times New Roman" w:eastAsia="Arial" w:hAnsi="Times New Roman"/>
          <w:sz w:val="20"/>
        </w:rPr>
      </w:pPr>
      <w:r w:rsidRPr="00EF6B19">
        <w:rPr>
          <w:rFonts w:ascii="Times New Roman" w:eastAsia="Arial" w:hAnsi="Times New Roman"/>
          <w:b/>
          <w:sz w:val="20"/>
        </w:rPr>
        <w:t>Conflict of Interest:</w:t>
      </w:r>
      <w:r w:rsidRPr="00EF6B19">
        <w:rPr>
          <w:rFonts w:ascii="Times New Roman" w:eastAsia="Arial" w:hAnsi="Times New Roman"/>
          <w:sz w:val="20"/>
        </w:rPr>
        <w:t xml:space="preserve"> The study has no conflict of interest to declare by any author.</w:t>
      </w:r>
    </w:p>
    <w:p w14:paraId="6C92C1C9" w14:textId="77777777" w:rsidR="00822107" w:rsidRPr="00EF6B19" w:rsidRDefault="00822107" w:rsidP="00EF6B19">
      <w:pPr>
        <w:shd w:val="clear" w:color="auto" w:fill="FFFFFF"/>
        <w:spacing w:before="120" w:after="120" w:line="240" w:lineRule="auto"/>
        <w:jc w:val="both"/>
        <w:rPr>
          <w:rFonts w:ascii="Times New Roman" w:eastAsia="Arial" w:hAnsi="Times New Roman"/>
          <w:sz w:val="20"/>
        </w:rPr>
      </w:pPr>
      <w:r w:rsidRPr="00EF6B19">
        <w:rPr>
          <w:rFonts w:ascii="Times New Roman" w:hAnsi="Times New Roman"/>
          <w:b/>
          <w:sz w:val="28"/>
          <w:szCs w:val="28"/>
        </w:rPr>
        <w:lastRenderedPageBreak/>
        <w:t>REFERENCES</w:t>
      </w:r>
    </w:p>
    <w:p w14:paraId="5AEA9D77" w14:textId="77777777" w:rsidR="00DD508D" w:rsidRPr="00036BDD" w:rsidRDefault="00DD508D" w:rsidP="00CA7893">
      <w:pPr>
        <w:numPr>
          <w:ilvl w:val="0"/>
          <w:numId w:val="2"/>
        </w:numPr>
        <w:pBdr>
          <w:top w:val="nil"/>
          <w:left w:val="nil"/>
          <w:bottom w:val="nil"/>
          <w:right w:val="nil"/>
          <w:between w:val="nil"/>
        </w:pBdr>
        <w:spacing w:after="0" w:line="240" w:lineRule="auto"/>
        <w:ind w:left="360"/>
        <w:jc w:val="both"/>
        <w:rPr>
          <w:rFonts w:asciiTheme="majorBidi" w:hAnsiTheme="majorBidi" w:cstheme="majorBidi"/>
          <w:sz w:val="20"/>
          <w:szCs w:val="18"/>
        </w:rPr>
      </w:pPr>
      <w:r w:rsidRPr="00036BDD">
        <w:rPr>
          <w:rFonts w:asciiTheme="majorBidi" w:hAnsiTheme="majorBidi" w:cstheme="majorBidi"/>
          <w:color w:val="000000"/>
          <w:sz w:val="20"/>
          <w:szCs w:val="18"/>
        </w:rPr>
        <w:t xml:space="preserve">Ordonez CA, Pino LF, Badiel M, Sánchez AI, Loaiza J, Ballestas L, et al. Safety of performing a delayed anastomosis during damage control laparotomy in patients with destructive colon injuries. J Trauma 2011;71(6):1512. </w:t>
      </w:r>
    </w:p>
    <w:p w14:paraId="75A7BA9D" w14:textId="77777777" w:rsidR="00DD508D" w:rsidRPr="00036BDD" w:rsidRDefault="00DD508D" w:rsidP="00CA7893">
      <w:pPr>
        <w:numPr>
          <w:ilvl w:val="0"/>
          <w:numId w:val="2"/>
        </w:numPr>
        <w:pBdr>
          <w:top w:val="nil"/>
          <w:left w:val="nil"/>
          <w:bottom w:val="nil"/>
          <w:right w:val="nil"/>
          <w:between w:val="nil"/>
        </w:pBdr>
        <w:spacing w:after="0" w:line="240" w:lineRule="auto"/>
        <w:ind w:left="360"/>
        <w:jc w:val="both"/>
        <w:rPr>
          <w:rFonts w:asciiTheme="majorBidi" w:hAnsiTheme="majorBidi" w:cstheme="majorBidi"/>
          <w:sz w:val="20"/>
          <w:szCs w:val="18"/>
        </w:rPr>
      </w:pPr>
      <w:r w:rsidRPr="00036BDD">
        <w:rPr>
          <w:rFonts w:asciiTheme="majorBidi" w:hAnsiTheme="majorBidi" w:cstheme="majorBidi"/>
          <w:color w:val="000000"/>
          <w:sz w:val="20"/>
          <w:szCs w:val="18"/>
        </w:rPr>
        <w:t>Ott MM, Norris PR, Diaz JJ, Collier BR, Jenkins JM, Gunter OL, et al. Colon anastomosis after damage control laparotomy: recommendations from 174 trauma colectomies. J Trauma Acute Care Surg 2011;70(3):595–602.</w:t>
      </w:r>
    </w:p>
    <w:p w14:paraId="3EAF17D0" w14:textId="77777777" w:rsidR="00DD508D" w:rsidRPr="00036BDD" w:rsidRDefault="00DD508D" w:rsidP="00CA7893">
      <w:pPr>
        <w:numPr>
          <w:ilvl w:val="0"/>
          <w:numId w:val="2"/>
        </w:numPr>
        <w:pBdr>
          <w:top w:val="nil"/>
          <w:left w:val="nil"/>
          <w:bottom w:val="nil"/>
          <w:right w:val="nil"/>
          <w:between w:val="nil"/>
        </w:pBdr>
        <w:spacing w:after="0" w:line="240" w:lineRule="auto"/>
        <w:ind w:left="360"/>
        <w:jc w:val="both"/>
        <w:rPr>
          <w:rFonts w:asciiTheme="majorBidi" w:hAnsiTheme="majorBidi" w:cstheme="majorBidi"/>
          <w:sz w:val="20"/>
          <w:szCs w:val="18"/>
        </w:rPr>
      </w:pPr>
      <w:r w:rsidRPr="00036BDD">
        <w:rPr>
          <w:rFonts w:asciiTheme="majorBidi" w:hAnsiTheme="majorBidi" w:cstheme="majorBidi"/>
          <w:color w:val="000000"/>
          <w:sz w:val="20"/>
          <w:szCs w:val="18"/>
        </w:rPr>
        <w:t>Schnüriger B, Inaba K, Wu T, Eberle BM, Belzberg H, Demetriades D. Crystalloids after primary colon resection and anastomosis at initial trauma laparotomy: excessive volumes are associated with anastomotic leakage. J Trauma Acute Care Surg 2011;70(3):603-10.</w:t>
      </w:r>
    </w:p>
    <w:p w14:paraId="5E316D4A" w14:textId="77777777" w:rsidR="00DD508D" w:rsidRPr="00036BDD" w:rsidRDefault="00DD508D" w:rsidP="00CA7893">
      <w:pPr>
        <w:numPr>
          <w:ilvl w:val="0"/>
          <w:numId w:val="2"/>
        </w:numPr>
        <w:pBdr>
          <w:top w:val="nil"/>
          <w:left w:val="nil"/>
          <w:bottom w:val="nil"/>
          <w:right w:val="nil"/>
          <w:between w:val="nil"/>
        </w:pBdr>
        <w:spacing w:after="0" w:line="240" w:lineRule="auto"/>
        <w:ind w:left="360"/>
        <w:jc w:val="both"/>
        <w:rPr>
          <w:rFonts w:asciiTheme="majorBidi" w:hAnsiTheme="majorBidi" w:cstheme="majorBidi"/>
          <w:sz w:val="20"/>
          <w:szCs w:val="18"/>
        </w:rPr>
      </w:pPr>
      <w:r w:rsidRPr="00036BDD">
        <w:rPr>
          <w:rFonts w:asciiTheme="majorBidi" w:hAnsiTheme="majorBidi" w:cstheme="majorBidi"/>
          <w:color w:val="000000"/>
          <w:sz w:val="20"/>
          <w:szCs w:val="18"/>
        </w:rPr>
        <w:t>Davis B, Rivadeneira DE. Complications of colorectal anastomoses: Leaks, Strictures, and Bleeding. SurgClin North Am 2013;93(1):61-87.</w:t>
      </w:r>
    </w:p>
    <w:p w14:paraId="293A8AD9" w14:textId="77777777" w:rsidR="00DD508D" w:rsidRPr="00036BDD" w:rsidRDefault="00DD508D" w:rsidP="00CA7893">
      <w:pPr>
        <w:numPr>
          <w:ilvl w:val="0"/>
          <w:numId w:val="2"/>
        </w:numPr>
        <w:pBdr>
          <w:top w:val="nil"/>
          <w:left w:val="nil"/>
          <w:bottom w:val="nil"/>
          <w:right w:val="nil"/>
          <w:between w:val="nil"/>
        </w:pBdr>
        <w:spacing w:after="0" w:line="240" w:lineRule="auto"/>
        <w:ind w:left="360"/>
        <w:jc w:val="both"/>
        <w:rPr>
          <w:rFonts w:asciiTheme="majorBidi" w:hAnsiTheme="majorBidi" w:cstheme="majorBidi"/>
          <w:sz w:val="20"/>
          <w:szCs w:val="18"/>
        </w:rPr>
      </w:pPr>
      <w:r w:rsidRPr="00036BDD">
        <w:rPr>
          <w:rFonts w:asciiTheme="majorBidi" w:hAnsiTheme="majorBidi" w:cstheme="majorBidi"/>
          <w:color w:val="000000"/>
          <w:sz w:val="20"/>
          <w:szCs w:val="18"/>
        </w:rPr>
        <w:t>Musa O, Ghildiyal JP, Pandey MC. 6 Year prospective clinical trial of primary repair versus diversion colostomy in colonic injury cases. Indian J Surg 2010; 72(4):308-11.</w:t>
      </w:r>
    </w:p>
    <w:p w14:paraId="45ED6DF0" w14:textId="77777777" w:rsidR="00DD508D" w:rsidRPr="00036BDD" w:rsidRDefault="00DD508D" w:rsidP="00CA7893">
      <w:pPr>
        <w:numPr>
          <w:ilvl w:val="0"/>
          <w:numId w:val="2"/>
        </w:numPr>
        <w:pBdr>
          <w:top w:val="nil"/>
          <w:left w:val="nil"/>
          <w:bottom w:val="nil"/>
          <w:right w:val="nil"/>
          <w:between w:val="nil"/>
        </w:pBdr>
        <w:spacing w:after="0" w:line="240" w:lineRule="auto"/>
        <w:ind w:left="360"/>
        <w:jc w:val="both"/>
        <w:rPr>
          <w:rFonts w:asciiTheme="majorBidi" w:hAnsiTheme="majorBidi" w:cstheme="majorBidi"/>
          <w:sz w:val="20"/>
          <w:szCs w:val="18"/>
        </w:rPr>
      </w:pPr>
      <w:r w:rsidRPr="00036BDD">
        <w:rPr>
          <w:rFonts w:asciiTheme="majorBidi" w:hAnsiTheme="majorBidi" w:cstheme="majorBidi"/>
          <w:color w:val="000000"/>
          <w:sz w:val="20"/>
          <w:szCs w:val="18"/>
        </w:rPr>
        <w:t>Causey MW, Rivadeneira DE. Steele SR. Historical and current trends in colon trauma.Clin Colon Rectal Surg 2012;25(4):189-99.</w:t>
      </w:r>
    </w:p>
    <w:p w14:paraId="409F787D" w14:textId="77777777" w:rsidR="00DD508D" w:rsidRPr="00036BDD" w:rsidRDefault="00DD508D" w:rsidP="00CA7893">
      <w:pPr>
        <w:numPr>
          <w:ilvl w:val="0"/>
          <w:numId w:val="2"/>
        </w:numPr>
        <w:pBdr>
          <w:top w:val="nil"/>
          <w:left w:val="nil"/>
          <w:bottom w:val="nil"/>
          <w:right w:val="nil"/>
          <w:between w:val="nil"/>
        </w:pBdr>
        <w:spacing w:after="0" w:line="240" w:lineRule="auto"/>
        <w:ind w:left="360"/>
        <w:jc w:val="both"/>
        <w:rPr>
          <w:rFonts w:asciiTheme="majorBidi" w:hAnsiTheme="majorBidi" w:cstheme="majorBidi"/>
          <w:sz w:val="20"/>
          <w:szCs w:val="18"/>
        </w:rPr>
      </w:pPr>
      <w:r w:rsidRPr="00036BDD">
        <w:rPr>
          <w:rFonts w:asciiTheme="majorBidi" w:hAnsiTheme="majorBidi" w:cstheme="majorBidi"/>
          <w:color w:val="000000"/>
          <w:sz w:val="20"/>
          <w:szCs w:val="18"/>
        </w:rPr>
        <w:t>Krogh D. Biology: A Guide to the Natural World, Benjamin-Cummings Publishing Company, 2010; 597.</w:t>
      </w:r>
    </w:p>
    <w:p w14:paraId="40DE2741" w14:textId="77777777" w:rsidR="00DD508D" w:rsidRPr="00036BDD" w:rsidRDefault="00DD508D" w:rsidP="00CA7893">
      <w:pPr>
        <w:numPr>
          <w:ilvl w:val="0"/>
          <w:numId w:val="2"/>
        </w:numPr>
        <w:pBdr>
          <w:top w:val="nil"/>
          <w:left w:val="nil"/>
          <w:bottom w:val="nil"/>
          <w:right w:val="nil"/>
          <w:between w:val="nil"/>
        </w:pBdr>
        <w:spacing w:after="0" w:line="240" w:lineRule="auto"/>
        <w:ind w:left="360"/>
        <w:jc w:val="both"/>
        <w:rPr>
          <w:rFonts w:asciiTheme="majorBidi" w:hAnsiTheme="majorBidi" w:cstheme="majorBidi"/>
          <w:sz w:val="20"/>
          <w:szCs w:val="18"/>
        </w:rPr>
      </w:pPr>
      <w:r w:rsidRPr="00036BDD">
        <w:rPr>
          <w:rFonts w:asciiTheme="majorBidi" w:hAnsiTheme="majorBidi" w:cstheme="majorBidi"/>
          <w:color w:val="000000"/>
          <w:sz w:val="20"/>
          <w:szCs w:val="18"/>
        </w:rPr>
        <w:t xml:space="preserve">Hounnou G, Destrieux C, Desmé J, Bertrand P, Velut S. Anatomical study of the length of the human intestine. Surg Radiol Anat 2002;24 (5): 290-4. </w:t>
      </w:r>
    </w:p>
    <w:p w14:paraId="2594CC45" w14:textId="77777777" w:rsidR="00DD508D" w:rsidRPr="00036BDD" w:rsidRDefault="00DD508D" w:rsidP="00CA7893">
      <w:pPr>
        <w:numPr>
          <w:ilvl w:val="0"/>
          <w:numId w:val="2"/>
        </w:numPr>
        <w:pBdr>
          <w:top w:val="nil"/>
          <w:left w:val="nil"/>
          <w:bottom w:val="nil"/>
          <w:right w:val="nil"/>
          <w:between w:val="nil"/>
        </w:pBdr>
        <w:spacing w:after="0" w:line="240" w:lineRule="auto"/>
        <w:ind w:left="360"/>
        <w:jc w:val="both"/>
        <w:rPr>
          <w:rFonts w:asciiTheme="majorBidi" w:hAnsiTheme="majorBidi" w:cstheme="majorBidi"/>
          <w:sz w:val="20"/>
          <w:szCs w:val="18"/>
        </w:rPr>
      </w:pPr>
      <w:r w:rsidRPr="00036BDD">
        <w:rPr>
          <w:rFonts w:asciiTheme="majorBidi" w:hAnsiTheme="majorBidi" w:cstheme="majorBidi"/>
          <w:color w:val="000000"/>
          <w:sz w:val="20"/>
          <w:szCs w:val="18"/>
        </w:rPr>
        <w:t>Nguyen H, Loustaunau C, Facista A, Ramsey L, Hassounah N, Taylor H, et al. Deficient Pms2, ERCC1, Ku86, CcOI in field defects during progression to colon cancer. J Vis Exp 2010; (41).</w:t>
      </w:r>
    </w:p>
    <w:p w14:paraId="586D3CDF" w14:textId="77777777" w:rsidR="00DD508D" w:rsidRPr="00036BDD" w:rsidRDefault="00DD508D" w:rsidP="00CA7893">
      <w:pPr>
        <w:numPr>
          <w:ilvl w:val="0"/>
          <w:numId w:val="2"/>
        </w:numPr>
        <w:pBdr>
          <w:top w:val="nil"/>
          <w:left w:val="nil"/>
          <w:bottom w:val="nil"/>
          <w:right w:val="nil"/>
          <w:between w:val="nil"/>
        </w:pBdr>
        <w:spacing w:after="0" w:line="240" w:lineRule="auto"/>
        <w:ind w:left="360"/>
        <w:jc w:val="both"/>
        <w:rPr>
          <w:rFonts w:asciiTheme="majorBidi" w:hAnsiTheme="majorBidi" w:cstheme="majorBidi"/>
          <w:sz w:val="20"/>
          <w:szCs w:val="18"/>
        </w:rPr>
      </w:pPr>
      <w:r w:rsidRPr="00036BDD">
        <w:rPr>
          <w:rFonts w:asciiTheme="majorBidi" w:hAnsiTheme="majorBidi" w:cstheme="majorBidi"/>
          <w:color w:val="000000"/>
          <w:sz w:val="20"/>
          <w:szCs w:val="18"/>
        </w:rPr>
        <w:t xml:space="preserve">Siegel RL, Miller KD, Fedewa SA, Ahnen DJ, Meester RG, Barzi A, et al. Colorectal cancer statistics, 2017. CA Cancer J. Clin 2017. </w:t>
      </w:r>
    </w:p>
    <w:p w14:paraId="71C50DA0" w14:textId="77777777" w:rsidR="00DD508D" w:rsidRPr="00036BDD" w:rsidRDefault="00DD508D" w:rsidP="00CA7893">
      <w:pPr>
        <w:numPr>
          <w:ilvl w:val="0"/>
          <w:numId w:val="2"/>
        </w:numPr>
        <w:pBdr>
          <w:top w:val="nil"/>
          <w:left w:val="nil"/>
          <w:bottom w:val="nil"/>
          <w:right w:val="nil"/>
          <w:between w:val="nil"/>
        </w:pBdr>
        <w:spacing w:after="0" w:line="240" w:lineRule="auto"/>
        <w:ind w:left="360"/>
        <w:jc w:val="both"/>
        <w:rPr>
          <w:rFonts w:asciiTheme="majorBidi" w:hAnsiTheme="majorBidi" w:cstheme="majorBidi"/>
          <w:sz w:val="20"/>
          <w:szCs w:val="18"/>
        </w:rPr>
      </w:pPr>
      <w:r w:rsidRPr="00036BDD">
        <w:rPr>
          <w:rFonts w:asciiTheme="majorBidi" w:hAnsiTheme="majorBidi" w:cstheme="majorBidi"/>
          <w:color w:val="000000"/>
          <w:sz w:val="20"/>
          <w:szCs w:val="18"/>
        </w:rPr>
        <w:t>Smithivas T, Hyams PJ, Rahal JJ. Gentamicin and ampicillin in human bile. J Infec Dis 1971; 124Suppl: S106-8.</w:t>
      </w:r>
    </w:p>
    <w:p w14:paraId="2FA8B26E" w14:textId="77777777" w:rsidR="00DD508D" w:rsidRPr="00036BDD" w:rsidRDefault="00DD508D" w:rsidP="00CA7893">
      <w:pPr>
        <w:numPr>
          <w:ilvl w:val="0"/>
          <w:numId w:val="2"/>
        </w:numPr>
        <w:pBdr>
          <w:top w:val="nil"/>
          <w:left w:val="nil"/>
          <w:bottom w:val="nil"/>
          <w:right w:val="nil"/>
          <w:between w:val="nil"/>
        </w:pBdr>
        <w:spacing w:after="0" w:line="240" w:lineRule="auto"/>
        <w:ind w:left="360"/>
        <w:jc w:val="both"/>
        <w:rPr>
          <w:rFonts w:asciiTheme="majorBidi" w:hAnsiTheme="majorBidi" w:cstheme="majorBidi"/>
          <w:sz w:val="20"/>
          <w:szCs w:val="18"/>
        </w:rPr>
      </w:pPr>
      <w:r w:rsidRPr="00036BDD">
        <w:rPr>
          <w:rFonts w:asciiTheme="majorBidi" w:hAnsiTheme="majorBidi" w:cstheme="majorBidi"/>
          <w:color w:val="000000"/>
          <w:sz w:val="20"/>
          <w:szCs w:val="18"/>
        </w:rPr>
        <w:t>Snell RS. Clinical Anatomy for Medical Students. 4</w:t>
      </w:r>
      <w:r w:rsidRPr="00036BDD">
        <w:rPr>
          <w:rFonts w:asciiTheme="majorBidi" w:hAnsiTheme="majorBidi" w:cstheme="majorBidi"/>
          <w:color w:val="000000"/>
          <w:sz w:val="20"/>
          <w:szCs w:val="18"/>
          <w:vertAlign w:val="superscript"/>
        </w:rPr>
        <w:t>th</w:t>
      </w:r>
      <w:r w:rsidRPr="00036BDD">
        <w:rPr>
          <w:rFonts w:asciiTheme="majorBidi" w:hAnsiTheme="majorBidi" w:cstheme="majorBidi"/>
          <w:color w:val="000000"/>
          <w:sz w:val="20"/>
          <w:szCs w:val="18"/>
        </w:rPr>
        <w:t xml:space="preserve"> ed. Boston: Little, Brown, and Company. 1992; 53-4.</w:t>
      </w:r>
    </w:p>
    <w:p w14:paraId="75D1F0D0" w14:textId="77777777" w:rsidR="00DD508D" w:rsidRPr="00036BDD" w:rsidRDefault="00DD508D" w:rsidP="00CA7893">
      <w:pPr>
        <w:numPr>
          <w:ilvl w:val="0"/>
          <w:numId w:val="2"/>
        </w:numPr>
        <w:pBdr>
          <w:top w:val="nil"/>
          <w:left w:val="nil"/>
          <w:bottom w:val="nil"/>
          <w:right w:val="nil"/>
          <w:between w:val="nil"/>
        </w:pBdr>
        <w:spacing w:after="0" w:line="240" w:lineRule="auto"/>
        <w:ind w:left="360"/>
        <w:jc w:val="both"/>
        <w:rPr>
          <w:rFonts w:asciiTheme="majorBidi" w:hAnsiTheme="majorBidi" w:cstheme="majorBidi"/>
          <w:sz w:val="20"/>
          <w:szCs w:val="18"/>
        </w:rPr>
      </w:pPr>
      <w:r w:rsidRPr="00036BDD">
        <w:rPr>
          <w:rFonts w:asciiTheme="majorBidi" w:hAnsiTheme="majorBidi" w:cstheme="majorBidi"/>
          <w:color w:val="000000"/>
          <w:sz w:val="20"/>
          <w:szCs w:val="18"/>
        </w:rPr>
        <w:t>Le T. First Aid for the USMLE Step 1. McGraw-Hill Education 2014; 196.</w:t>
      </w:r>
    </w:p>
    <w:p w14:paraId="12104703" w14:textId="77777777" w:rsidR="00DD508D" w:rsidRPr="00036BDD" w:rsidRDefault="00DD508D" w:rsidP="00CA7893">
      <w:pPr>
        <w:numPr>
          <w:ilvl w:val="0"/>
          <w:numId w:val="2"/>
        </w:numPr>
        <w:pBdr>
          <w:top w:val="nil"/>
          <w:left w:val="nil"/>
          <w:bottom w:val="nil"/>
          <w:right w:val="nil"/>
          <w:between w:val="nil"/>
        </w:pBdr>
        <w:spacing w:after="0" w:line="240" w:lineRule="auto"/>
        <w:ind w:left="360" w:right="30"/>
        <w:jc w:val="both"/>
        <w:rPr>
          <w:rFonts w:asciiTheme="majorBidi" w:hAnsiTheme="majorBidi" w:cstheme="majorBidi"/>
          <w:sz w:val="20"/>
          <w:szCs w:val="18"/>
        </w:rPr>
      </w:pPr>
      <w:r w:rsidRPr="00036BDD">
        <w:rPr>
          <w:rFonts w:asciiTheme="majorBidi" w:hAnsiTheme="majorBidi" w:cstheme="majorBidi"/>
          <w:color w:val="000000"/>
          <w:sz w:val="20"/>
          <w:szCs w:val="18"/>
        </w:rPr>
        <w:t>Bulger EM, Mc Mahon K, Jurkovich JG: The morbidity of penetrating colon injury. Injury, Int J Care Injuried 2003; 34: 41-6.</w:t>
      </w:r>
    </w:p>
    <w:p w14:paraId="158103DA" w14:textId="77777777" w:rsidR="00DD508D" w:rsidRPr="00036BDD" w:rsidRDefault="00DD508D" w:rsidP="00CA7893">
      <w:pPr>
        <w:numPr>
          <w:ilvl w:val="0"/>
          <w:numId w:val="2"/>
        </w:numPr>
        <w:pBdr>
          <w:top w:val="nil"/>
          <w:left w:val="nil"/>
          <w:bottom w:val="nil"/>
          <w:right w:val="nil"/>
          <w:between w:val="nil"/>
        </w:pBdr>
        <w:spacing w:after="0" w:line="240" w:lineRule="auto"/>
        <w:ind w:left="360" w:right="30"/>
        <w:jc w:val="both"/>
        <w:rPr>
          <w:rFonts w:asciiTheme="majorBidi" w:hAnsiTheme="majorBidi" w:cstheme="majorBidi"/>
          <w:sz w:val="20"/>
          <w:szCs w:val="18"/>
        </w:rPr>
      </w:pPr>
      <w:r w:rsidRPr="00036BDD">
        <w:rPr>
          <w:rFonts w:asciiTheme="majorBidi" w:hAnsiTheme="majorBidi" w:cstheme="majorBidi"/>
          <w:color w:val="000000"/>
          <w:sz w:val="20"/>
          <w:szCs w:val="18"/>
        </w:rPr>
        <w:t>Bowley DM, Boffard KD, Goosen J, Bebington BD, Plani F. Evolving concepts in the management of colonic injury. Injury 2001; 32: 435-9.</w:t>
      </w:r>
    </w:p>
    <w:p w14:paraId="117D79CC" w14:textId="77777777" w:rsidR="00DD508D" w:rsidRPr="00036BDD" w:rsidRDefault="00DD508D" w:rsidP="00CA7893">
      <w:pPr>
        <w:numPr>
          <w:ilvl w:val="0"/>
          <w:numId w:val="2"/>
        </w:numPr>
        <w:pBdr>
          <w:top w:val="nil"/>
          <w:left w:val="nil"/>
          <w:bottom w:val="nil"/>
          <w:right w:val="nil"/>
          <w:between w:val="nil"/>
        </w:pBdr>
        <w:spacing w:after="0" w:line="240" w:lineRule="auto"/>
        <w:ind w:left="360" w:right="30"/>
        <w:jc w:val="both"/>
        <w:rPr>
          <w:rFonts w:asciiTheme="majorBidi" w:hAnsiTheme="majorBidi" w:cstheme="majorBidi"/>
          <w:sz w:val="20"/>
          <w:szCs w:val="18"/>
        </w:rPr>
      </w:pPr>
      <w:r w:rsidRPr="00036BDD">
        <w:rPr>
          <w:rFonts w:asciiTheme="majorBidi" w:hAnsiTheme="majorBidi" w:cstheme="majorBidi"/>
          <w:color w:val="000000"/>
          <w:sz w:val="20"/>
          <w:szCs w:val="18"/>
        </w:rPr>
        <w:lastRenderedPageBreak/>
        <w:t>Faelk M, Osipov R, Foster K, Caruso D, Kassir A: The conundrum of traumatic colon injury. Am J Surg 2004; 188 (6): 663-70.</w:t>
      </w:r>
    </w:p>
    <w:p w14:paraId="15B6320C" w14:textId="77777777" w:rsidR="00DD508D" w:rsidRPr="00036BDD" w:rsidRDefault="00DD508D" w:rsidP="00CA7893">
      <w:pPr>
        <w:numPr>
          <w:ilvl w:val="0"/>
          <w:numId w:val="2"/>
        </w:numPr>
        <w:pBdr>
          <w:top w:val="nil"/>
          <w:left w:val="nil"/>
          <w:bottom w:val="nil"/>
          <w:right w:val="nil"/>
          <w:between w:val="nil"/>
        </w:pBdr>
        <w:spacing w:after="0" w:line="240" w:lineRule="auto"/>
        <w:ind w:left="360" w:right="30"/>
        <w:jc w:val="both"/>
        <w:rPr>
          <w:rFonts w:asciiTheme="majorBidi" w:hAnsiTheme="majorBidi" w:cstheme="majorBidi"/>
          <w:sz w:val="20"/>
          <w:szCs w:val="18"/>
        </w:rPr>
      </w:pPr>
      <w:r w:rsidRPr="00036BDD">
        <w:rPr>
          <w:rFonts w:asciiTheme="majorBidi" w:hAnsiTheme="majorBidi" w:cstheme="majorBidi"/>
          <w:color w:val="000000"/>
          <w:sz w:val="20"/>
          <w:szCs w:val="18"/>
        </w:rPr>
        <w:t>Tzovaras G, Hatzitheofilou C: New trends in management of colonic trauma. Injury, Int J Care Injuried 2005; 36: 1011-5.</w:t>
      </w:r>
    </w:p>
    <w:p w14:paraId="09AAACE9" w14:textId="77777777" w:rsidR="00DD508D" w:rsidRPr="00036BDD" w:rsidRDefault="00DD508D" w:rsidP="00CA7893">
      <w:pPr>
        <w:numPr>
          <w:ilvl w:val="0"/>
          <w:numId w:val="2"/>
        </w:numPr>
        <w:pBdr>
          <w:top w:val="nil"/>
          <w:left w:val="nil"/>
          <w:bottom w:val="nil"/>
          <w:right w:val="nil"/>
          <w:between w:val="nil"/>
        </w:pBdr>
        <w:spacing w:after="0" w:line="240" w:lineRule="auto"/>
        <w:ind w:left="360" w:right="30"/>
        <w:jc w:val="both"/>
        <w:rPr>
          <w:rFonts w:asciiTheme="majorBidi" w:hAnsiTheme="majorBidi" w:cstheme="majorBidi"/>
          <w:sz w:val="20"/>
          <w:szCs w:val="18"/>
        </w:rPr>
      </w:pPr>
      <w:r w:rsidRPr="00036BDD">
        <w:rPr>
          <w:rFonts w:asciiTheme="majorBidi" w:hAnsiTheme="majorBidi" w:cstheme="majorBidi"/>
          <w:color w:val="000000"/>
          <w:sz w:val="20"/>
          <w:szCs w:val="18"/>
        </w:rPr>
        <w:t>Taylor M, Logsetty S: Primary repair for penetrating colon injuries. (CAGS-Evid Based Rev Surg.12). Can J Surg 2005; 48: 63-5.</w:t>
      </w:r>
    </w:p>
    <w:p w14:paraId="73B8231C" w14:textId="77777777" w:rsidR="00DD508D" w:rsidRPr="00036BDD" w:rsidRDefault="00DD508D" w:rsidP="00CA7893">
      <w:pPr>
        <w:numPr>
          <w:ilvl w:val="0"/>
          <w:numId w:val="2"/>
        </w:numPr>
        <w:pBdr>
          <w:top w:val="nil"/>
          <w:left w:val="nil"/>
          <w:bottom w:val="nil"/>
          <w:right w:val="nil"/>
          <w:between w:val="nil"/>
        </w:pBdr>
        <w:spacing w:after="0" w:line="240" w:lineRule="auto"/>
        <w:ind w:left="360" w:right="30"/>
        <w:jc w:val="both"/>
        <w:rPr>
          <w:rFonts w:asciiTheme="majorBidi" w:hAnsiTheme="majorBidi" w:cstheme="majorBidi"/>
          <w:sz w:val="20"/>
          <w:szCs w:val="18"/>
        </w:rPr>
      </w:pPr>
      <w:r w:rsidRPr="00036BDD">
        <w:rPr>
          <w:rFonts w:asciiTheme="majorBidi" w:hAnsiTheme="majorBidi" w:cstheme="majorBidi"/>
          <w:color w:val="000000"/>
          <w:sz w:val="20"/>
          <w:szCs w:val="18"/>
        </w:rPr>
        <w:t>Demetriades D, Murray JA, Chan L, Ordoñez C, Bowley D, Nagy KK, et al. Penetrating colon injuries requiring resection: diversion or primary anastomosis? An AAST Prospective multicenter study. J Trauma 2001; 50: 765-75.</w:t>
      </w:r>
    </w:p>
    <w:p w14:paraId="7A27D969" w14:textId="77777777" w:rsidR="00DD508D" w:rsidRPr="00036BDD" w:rsidRDefault="00DD508D" w:rsidP="00CA7893">
      <w:pPr>
        <w:numPr>
          <w:ilvl w:val="0"/>
          <w:numId w:val="2"/>
        </w:numPr>
        <w:shd w:val="clear" w:color="auto" w:fill="FFFFFF"/>
        <w:spacing w:after="0" w:line="240" w:lineRule="auto"/>
        <w:ind w:left="360"/>
        <w:jc w:val="both"/>
        <w:rPr>
          <w:rFonts w:asciiTheme="majorBidi" w:hAnsiTheme="majorBidi" w:cstheme="majorBidi"/>
          <w:color w:val="222222"/>
          <w:sz w:val="20"/>
          <w:szCs w:val="18"/>
        </w:rPr>
      </w:pPr>
      <w:r w:rsidRPr="00036BDD">
        <w:rPr>
          <w:rFonts w:asciiTheme="majorBidi" w:hAnsiTheme="majorBidi" w:cstheme="majorBidi"/>
          <w:color w:val="222222"/>
          <w:sz w:val="20"/>
          <w:szCs w:val="18"/>
        </w:rPr>
        <w:t xml:space="preserve">Dente CJ, Tyburski J, Wilson RF, Collinge J, Steffes C, Carlin A. Ostomy as a risk factor for posttraumatic infection in penetrating colonic injuries: Univariate and multivariate analyses. </w:t>
      </w:r>
      <w:r w:rsidRPr="00036BDD">
        <w:rPr>
          <w:rStyle w:val="html-italic"/>
          <w:rFonts w:asciiTheme="majorBidi" w:hAnsiTheme="majorBidi" w:cstheme="majorBidi"/>
          <w:color w:val="222222"/>
          <w:sz w:val="20"/>
          <w:szCs w:val="18"/>
        </w:rPr>
        <w:t xml:space="preserve">J Trauma </w:t>
      </w:r>
      <w:r w:rsidRPr="00036BDD">
        <w:rPr>
          <w:rFonts w:asciiTheme="majorBidi" w:hAnsiTheme="majorBidi" w:cstheme="majorBidi"/>
          <w:bCs/>
          <w:color w:val="222222"/>
          <w:sz w:val="20"/>
          <w:szCs w:val="18"/>
        </w:rPr>
        <w:t>2000</w:t>
      </w:r>
      <w:r w:rsidRPr="00036BDD">
        <w:rPr>
          <w:rFonts w:asciiTheme="majorBidi" w:hAnsiTheme="majorBidi" w:cstheme="majorBidi"/>
          <w:color w:val="222222"/>
          <w:sz w:val="20"/>
          <w:szCs w:val="18"/>
        </w:rPr>
        <w:t xml:space="preserve">; </w:t>
      </w:r>
      <w:r w:rsidRPr="00036BDD">
        <w:rPr>
          <w:rStyle w:val="html-italic"/>
          <w:rFonts w:asciiTheme="majorBidi" w:hAnsiTheme="majorBidi" w:cstheme="majorBidi"/>
          <w:color w:val="222222"/>
          <w:sz w:val="20"/>
          <w:szCs w:val="18"/>
        </w:rPr>
        <w:t xml:space="preserve">49: </w:t>
      </w:r>
      <w:r w:rsidRPr="00036BDD">
        <w:rPr>
          <w:rFonts w:asciiTheme="majorBidi" w:hAnsiTheme="majorBidi" w:cstheme="majorBidi"/>
          <w:color w:val="222222"/>
          <w:sz w:val="20"/>
          <w:szCs w:val="18"/>
        </w:rPr>
        <w:t>628-34.</w:t>
      </w:r>
    </w:p>
    <w:p w14:paraId="65CC953E" w14:textId="77777777" w:rsidR="00DD508D" w:rsidRPr="00036BDD" w:rsidRDefault="00DD508D" w:rsidP="00CA7893">
      <w:pPr>
        <w:numPr>
          <w:ilvl w:val="0"/>
          <w:numId w:val="2"/>
        </w:numPr>
        <w:shd w:val="clear" w:color="auto" w:fill="FFFFFF"/>
        <w:spacing w:after="0" w:line="240" w:lineRule="auto"/>
        <w:ind w:left="360"/>
        <w:jc w:val="both"/>
        <w:rPr>
          <w:rFonts w:asciiTheme="majorBidi" w:hAnsiTheme="majorBidi" w:cstheme="majorBidi"/>
          <w:color w:val="222222"/>
          <w:sz w:val="20"/>
          <w:szCs w:val="18"/>
        </w:rPr>
      </w:pPr>
      <w:r w:rsidRPr="00036BDD">
        <w:rPr>
          <w:rFonts w:asciiTheme="majorBidi" w:hAnsiTheme="majorBidi" w:cstheme="majorBidi"/>
          <w:color w:val="222222"/>
          <w:sz w:val="20"/>
          <w:szCs w:val="18"/>
        </w:rPr>
        <w:t xml:space="preserve">Burch JM, Martin RR, Richardson RJ, Muldowny DS, Mattox KL, Jordan GL Jr. Evolution of the treatment of the injured colon in the 1980s. </w:t>
      </w:r>
      <w:r w:rsidRPr="00036BDD">
        <w:rPr>
          <w:rStyle w:val="html-italic"/>
          <w:rFonts w:asciiTheme="majorBidi" w:hAnsiTheme="majorBidi" w:cstheme="majorBidi"/>
          <w:color w:val="222222"/>
          <w:sz w:val="20"/>
          <w:szCs w:val="18"/>
        </w:rPr>
        <w:t xml:space="preserve">Arch Surg </w:t>
      </w:r>
      <w:r w:rsidRPr="00036BDD">
        <w:rPr>
          <w:rFonts w:asciiTheme="majorBidi" w:hAnsiTheme="majorBidi" w:cstheme="majorBidi"/>
          <w:bCs/>
          <w:color w:val="222222"/>
          <w:sz w:val="20"/>
          <w:szCs w:val="18"/>
        </w:rPr>
        <w:t>1991</w:t>
      </w:r>
      <w:r w:rsidRPr="00036BDD">
        <w:rPr>
          <w:rFonts w:asciiTheme="majorBidi" w:hAnsiTheme="majorBidi" w:cstheme="majorBidi"/>
          <w:color w:val="222222"/>
          <w:sz w:val="20"/>
          <w:szCs w:val="18"/>
        </w:rPr>
        <w:t xml:space="preserve">; </w:t>
      </w:r>
      <w:r w:rsidRPr="00036BDD">
        <w:rPr>
          <w:rStyle w:val="html-italic"/>
          <w:rFonts w:asciiTheme="majorBidi" w:hAnsiTheme="majorBidi" w:cstheme="majorBidi"/>
          <w:color w:val="222222"/>
          <w:sz w:val="20"/>
          <w:szCs w:val="18"/>
        </w:rPr>
        <w:t xml:space="preserve">126: </w:t>
      </w:r>
      <w:r w:rsidRPr="00036BDD">
        <w:rPr>
          <w:rFonts w:asciiTheme="majorBidi" w:hAnsiTheme="majorBidi" w:cstheme="majorBidi"/>
          <w:color w:val="222222"/>
          <w:sz w:val="20"/>
          <w:szCs w:val="18"/>
        </w:rPr>
        <w:t>979-83.</w:t>
      </w:r>
    </w:p>
    <w:p w14:paraId="74864E5A" w14:textId="77777777" w:rsidR="00DD508D" w:rsidRPr="00036BDD" w:rsidRDefault="00DD508D" w:rsidP="00CA7893">
      <w:pPr>
        <w:numPr>
          <w:ilvl w:val="0"/>
          <w:numId w:val="2"/>
        </w:numPr>
        <w:shd w:val="clear" w:color="auto" w:fill="FFFFFF"/>
        <w:spacing w:after="0" w:line="240" w:lineRule="auto"/>
        <w:ind w:left="360"/>
        <w:jc w:val="both"/>
        <w:rPr>
          <w:rFonts w:asciiTheme="majorBidi" w:hAnsiTheme="majorBidi" w:cstheme="majorBidi"/>
          <w:color w:val="222222"/>
          <w:sz w:val="20"/>
          <w:szCs w:val="18"/>
        </w:rPr>
      </w:pPr>
      <w:r w:rsidRPr="00036BDD">
        <w:rPr>
          <w:rFonts w:asciiTheme="majorBidi" w:hAnsiTheme="majorBidi" w:cstheme="majorBidi"/>
          <w:color w:val="222222"/>
          <w:sz w:val="20"/>
          <w:szCs w:val="18"/>
        </w:rPr>
        <w:t>Cornwell EE 3</w:t>
      </w:r>
      <w:r w:rsidRPr="00036BDD">
        <w:rPr>
          <w:rFonts w:asciiTheme="majorBidi" w:hAnsiTheme="majorBidi" w:cstheme="majorBidi"/>
          <w:color w:val="222222"/>
          <w:sz w:val="20"/>
          <w:szCs w:val="18"/>
          <w:vertAlign w:val="superscript"/>
        </w:rPr>
        <w:t>rd</w:t>
      </w:r>
      <w:r w:rsidRPr="00036BDD">
        <w:rPr>
          <w:rFonts w:asciiTheme="majorBidi" w:hAnsiTheme="majorBidi" w:cstheme="majorBidi"/>
          <w:color w:val="222222"/>
          <w:sz w:val="20"/>
          <w:szCs w:val="18"/>
        </w:rPr>
        <w:t xml:space="preserve">, Velmahos GC, Berne TV, Murray JA, Chahwan S, Asensio J, Demetriades D. The fate of colonic suture lines in high-risk trauma patients: A prospective analysis. </w:t>
      </w:r>
      <w:r w:rsidRPr="00036BDD">
        <w:rPr>
          <w:rStyle w:val="html-italic"/>
          <w:rFonts w:asciiTheme="majorBidi" w:hAnsiTheme="majorBidi" w:cstheme="majorBidi"/>
          <w:color w:val="222222"/>
          <w:sz w:val="20"/>
          <w:szCs w:val="18"/>
        </w:rPr>
        <w:t xml:space="preserve">J Am Coll Surg </w:t>
      </w:r>
      <w:r w:rsidRPr="00036BDD">
        <w:rPr>
          <w:rFonts w:asciiTheme="majorBidi" w:hAnsiTheme="majorBidi" w:cstheme="majorBidi"/>
          <w:bCs/>
          <w:color w:val="222222"/>
          <w:sz w:val="20"/>
          <w:szCs w:val="18"/>
        </w:rPr>
        <w:t>1998</w:t>
      </w:r>
      <w:r w:rsidRPr="00036BDD">
        <w:rPr>
          <w:rFonts w:asciiTheme="majorBidi" w:hAnsiTheme="majorBidi" w:cstheme="majorBidi"/>
          <w:color w:val="222222"/>
          <w:sz w:val="20"/>
          <w:szCs w:val="18"/>
        </w:rPr>
        <w:t xml:space="preserve">; </w:t>
      </w:r>
      <w:r w:rsidRPr="00036BDD">
        <w:rPr>
          <w:rStyle w:val="html-italic"/>
          <w:rFonts w:asciiTheme="majorBidi" w:hAnsiTheme="majorBidi" w:cstheme="majorBidi"/>
          <w:color w:val="222222"/>
          <w:sz w:val="20"/>
          <w:szCs w:val="18"/>
        </w:rPr>
        <w:t xml:space="preserve">187: </w:t>
      </w:r>
      <w:r w:rsidRPr="00036BDD">
        <w:rPr>
          <w:rFonts w:asciiTheme="majorBidi" w:hAnsiTheme="majorBidi" w:cstheme="majorBidi"/>
          <w:color w:val="222222"/>
          <w:sz w:val="20"/>
          <w:szCs w:val="18"/>
        </w:rPr>
        <w:t>58-63.</w:t>
      </w:r>
    </w:p>
    <w:p w14:paraId="5F78C2F0" w14:textId="77777777" w:rsidR="00DD508D" w:rsidRPr="00036BDD" w:rsidRDefault="00DD508D" w:rsidP="00CA7893">
      <w:pPr>
        <w:numPr>
          <w:ilvl w:val="0"/>
          <w:numId w:val="2"/>
        </w:numPr>
        <w:shd w:val="clear" w:color="auto" w:fill="FFFFFF"/>
        <w:autoSpaceDE w:val="0"/>
        <w:autoSpaceDN w:val="0"/>
        <w:adjustRightInd w:val="0"/>
        <w:spacing w:after="0" w:line="240" w:lineRule="auto"/>
        <w:ind w:left="360"/>
        <w:jc w:val="both"/>
        <w:rPr>
          <w:rFonts w:asciiTheme="majorBidi" w:hAnsiTheme="majorBidi" w:cstheme="majorBidi"/>
          <w:color w:val="000000"/>
          <w:sz w:val="20"/>
          <w:szCs w:val="18"/>
        </w:rPr>
      </w:pPr>
      <w:r w:rsidRPr="00036BDD">
        <w:rPr>
          <w:rFonts w:asciiTheme="majorBidi" w:hAnsiTheme="majorBidi" w:cstheme="majorBidi"/>
          <w:color w:val="222222"/>
          <w:sz w:val="20"/>
          <w:szCs w:val="18"/>
        </w:rPr>
        <w:t xml:space="preserve">Hatch Q, Causey M, Martin M, Stoddard D, Johnson E, Maykel J, Steele S. Outcomes after </w:t>
      </w:r>
      <w:r w:rsidRPr="00036BDD">
        <w:rPr>
          <w:rFonts w:asciiTheme="majorBidi" w:hAnsiTheme="majorBidi" w:cstheme="majorBidi"/>
          <w:color w:val="222222"/>
          <w:sz w:val="20"/>
          <w:szCs w:val="18"/>
        </w:rPr>
        <w:lastRenderedPageBreak/>
        <w:t>colon trauma in the 21</w:t>
      </w:r>
      <w:r w:rsidRPr="00036BDD">
        <w:rPr>
          <w:rFonts w:asciiTheme="majorBidi" w:hAnsiTheme="majorBidi" w:cstheme="majorBidi"/>
          <w:color w:val="222222"/>
          <w:sz w:val="20"/>
          <w:szCs w:val="18"/>
          <w:vertAlign w:val="superscript"/>
        </w:rPr>
        <w:t>st</w:t>
      </w:r>
      <w:r w:rsidRPr="00036BDD">
        <w:rPr>
          <w:rFonts w:asciiTheme="majorBidi" w:hAnsiTheme="majorBidi" w:cstheme="majorBidi"/>
          <w:color w:val="222222"/>
          <w:sz w:val="20"/>
          <w:szCs w:val="18"/>
        </w:rPr>
        <w:t xml:space="preserve"> century: An analysis of the U.S. National Trauma Data Bank. </w:t>
      </w:r>
      <w:r w:rsidRPr="00036BDD">
        <w:rPr>
          <w:rStyle w:val="html-italic"/>
          <w:rFonts w:asciiTheme="majorBidi" w:hAnsiTheme="majorBidi" w:cstheme="majorBidi"/>
          <w:color w:val="222222"/>
          <w:sz w:val="20"/>
          <w:szCs w:val="18"/>
        </w:rPr>
        <w:t xml:space="preserve">Surgery </w:t>
      </w:r>
      <w:r w:rsidRPr="00036BDD">
        <w:rPr>
          <w:rFonts w:asciiTheme="majorBidi" w:hAnsiTheme="majorBidi" w:cstheme="majorBidi"/>
          <w:bCs/>
          <w:color w:val="222222"/>
          <w:sz w:val="20"/>
          <w:szCs w:val="18"/>
        </w:rPr>
        <w:t>2013</w:t>
      </w:r>
      <w:r w:rsidRPr="00036BDD">
        <w:rPr>
          <w:rFonts w:asciiTheme="majorBidi" w:hAnsiTheme="majorBidi" w:cstheme="majorBidi"/>
          <w:color w:val="222222"/>
          <w:sz w:val="20"/>
          <w:szCs w:val="18"/>
        </w:rPr>
        <w:t xml:space="preserve">: </w:t>
      </w:r>
      <w:r w:rsidRPr="00036BDD">
        <w:rPr>
          <w:rStyle w:val="html-italic"/>
          <w:rFonts w:asciiTheme="majorBidi" w:hAnsiTheme="majorBidi" w:cstheme="majorBidi"/>
          <w:color w:val="222222"/>
          <w:sz w:val="20"/>
          <w:szCs w:val="18"/>
        </w:rPr>
        <w:t xml:space="preserve">154: </w:t>
      </w:r>
      <w:r w:rsidRPr="00036BDD">
        <w:rPr>
          <w:rFonts w:asciiTheme="majorBidi" w:hAnsiTheme="majorBidi" w:cstheme="majorBidi"/>
          <w:color w:val="222222"/>
          <w:sz w:val="20"/>
          <w:szCs w:val="18"/>
        </w:rPr>
        <w:t xml:space="preserve">397-403. </w:t>
      </w:r>
    </w:p>
    <w:p w14:paraId="36DB4EEC" w14:textId="64AC2C70" w:rsidR="00DD508D" w:rsidRPr="00036BDD" w:rsidRDefault="00DD508D" w:rsidP="0019060D">
      <w:pPr>
        <w:numPr>
          <w:ilvl w:val="0"/>
          <w:numId w:val="2"/>
        </w:numPr>
        <w:shd w:val="clear" w:color="auto" w:fill="FFFFFF"/>
        <w:autoSpaceDE w:val="0"/>
        <w:autoSpaceDN w:val="0"/>
        <w:adjustRightInd w:val="0"/>
        <w:spacing w:after="0" w:line="240" w:lineRule="auto"/>
        <w:ind w:left="360"/>
        <w:jc w:val="both"/>
        <w:rPr>
          <w:rFonts w:asciiTheme="majorBidi" w:hAnsiTheme="majorBidi" w:cstheme="majorBidi"/>
          <w:color w:val="222222"/>
          <w:sz w:val="20"/>
          <w:szCs w:val="18"/>
        </w:rPr>
      </w:pPr>
      <w:r w:rsidRPr="00036BDD">
        <w:rPr>
          <w:rFonts w:asciiTheme="majorBidi" w:hAnsiTheme="majorBidi" w:cstheme="majorBidi"/>
          <w:color w:val="222222"/>
          <w:sz w:val="20"/>
          <w:szCs w:val="18"/>
        </w:rPr>
        <w:t>Murray JA</w:t>
      </w:r>
      <w:r w:rsidR="00503F3D">
        <w:rPr>
          <w:rFonts w:asciiTheme="majorBidi" w:hAnsiTheme="majorBidi" w:cstheme="majorBidi"/>
          <w:color w:val="222222"/>
          <w:sz w:val="20"/>
          <w:szCs w:val="18"/>
        </w:rPr>
        <w:t>,</w:t>
      </w:r>
      <w:r w:rsidRPr="00036BDD">
        <w:rPr>
          <w:rFonts w:asciiTheme="majorBidi" w:hAnsiTheme="majorBidi" w:cstheme="majorBidi"/>
          <w:color w:val="222222"/>
          <w:sz w:val="20"/>
          <w:szCs w:val="18"/>
        </w:rPr>
        <w:t xml:space="preserve"> Demetriades D</w:t>
      </w:r>
      <w:r w:rsidR="008970AB">
        <w:rPr>
          <w:rFonts w:asciiTheme="majorBidi" w:hAnsiTheme="majorBidi" w:cstheme="majorBidi"/>
          <w:color w:val="222222"/>
          <w:sz w:val="20"/>
          <w:szCs w:val="18"/>
        </w:rPr>
        <w:t>,</w:t>
      </w:r>
      <w:r w:rsidRPr="00036BDD">
        <w:rPr>
          <w:rFonts w:asciiTheme="majorBidi" w:hAnsiTheme="majorBidi" w:cstheme="majorBidi"/>
          <w:color w:val="222222"/>
          <w:sz w:val="20"/>
          <w:szCs w:val="18"/>
        </w:rPr>
        <w:t xml:space="preserve"> Colson M</w:t>
      </w:r>
      <w:r w:rsidR="004E08E4">
        <w:rPr>
          <w:rFonts w:asciiTheme="majorBidi" w:hAnsiTheme="majorBidi" w:cstheme="majorBidi"/>
          <w:color w:val="222222"/>
          <w:sz w:val="20"/>
          <w:szCs w:val="18"/>
        </w:rPr>
        <w:t>,</w:t>
      </w:r>
      <w:r w:rsidRPr="00036BDD">
        <w:rPr>
          <w:rFonts w:asciiTheme="majorBidi" w:hAnsiTheme="majorBidi" w:cstheme="majorBidi"/>
          <w:color w:val="222222"/>
          <w:sz w:val="20"/>
          <w:szCs w:val="18"/>
        </w:rPr>
        <w:t xml:space="preserve"> Song Z</w:t>
      </w:r>
      <w:r w:rsidR="00463900">
        <w:rPr>
          <w:rFonts w:asciiTheme="majorBidi" w:hAnsiTheme="majorBidi" w:cstheme="majorBidi"/>
          <w:color w:val="222222"/>
          <w:sz w:val="20"/>
          <w:szCs w:val="18"/>
        </w:rPr>
        <w:t>,</w:t>
      </w:r>
      <w:r w:rsidRPr="00036BDD">
        <w:rPr>
          <w:rFonts w:asciiTheme="majorBidi" w:hAnsiTheme="majorBidi" w:cstheme="majorBidi"/>
          <w:color w:val="222222"/>
          <w:sz w:val="20"/>
          <w:szCs w:val="18"/>
        </w:rPr>
        <w:t xml:space="preserve"> Velmahos GC</w:t>
      </w:r>
      <w:r w:rsidR="00431867">
        <w:rPr>
          <w:rFonts w:asciiTheme="majorBidi" w:hAnsiTheme="majorBidi" w:cstheme="majorBidi"/>
          <w:color w:val="222222"/>
          <w:sz w:val="20"/>
          <w:szCs w:val="18"/>
        </w:rPr>
        <w:t>,</w:t>
      </w:r>
      <w:r w:rsidRPr="00036BDD">
        <w:rPr>
          <w:rFonts w:asciiTheme="majorBidi" w:hAnsiTheme="majorBidi" w:cstheme="majorBidi"/>
          <w:color w:val="222222"/>
          <w:sz w:val="20"/>
          <w:szCs w:val="18"/>
        </w:rPr>
        <w:t xml:space="preserve"> </w:t>
      </w:r>
      <w:r w:rsidR="007943BB">
        <w:rPr>
          <w:rFonts w:asciiTheme="majorBidi" w:hAnsiTheme="majorBidi" w:cstheme="majorBidi"/>
          <w:color w:val="222222"/>
          <w:sz w:val="20"/>
          <w:szCs w:val="18"/>
        </w:rPr>
        <w:t xml:space="preserve">et al. </w:t>
      </w:r>
      <w:r w:rsidRPr="00036BDD">
        <w:rPr>
          <w:rFonts w:asciiTheme="majorBidi" w:hAnsiTheme="majorBidi" w:cstheme="majorBidi"/>
          <w:color w:val="222222"/>
          <w:sz w:val="20"/>
          <w:szCs w:val="18"/>
        </w:rPr>
        <w:t>Colonic resection in trauma: Colostomy versus anastomosis. </w:t>
      </w:r>
      <w:r w:rsidRPr="00036BDD">
        <w:rPr>
          <w:rFonts w:asciiTheme="majorBidi" w:hAnsiTheme="majorBidi" w:cstheme="majorBidi"/>
          <w:sz w:val="20"/>
          <w:szCs w:val="18"/>
        </w:rPr>
        <w:t>J Trauma</w:t>
      </w:r>
      <w:r w:rsidRPr="00036BDD">
        <w:rPr>
          <w:rFonts w:asciiTheme="majorBidi" w:hAnsiTheme="majorBidi" w:cstheme="majorBidi"/>
          <w:color w:val="222222"/>
          <w:sz w:val="20"/>
          <w:szCs w:val="18"/>
        </w:rPr>
        <w:t> 1999</w:t>
      </w:r>
      <w:r w:rsidR="0019060D">
        <w:rPr>
          <w:rFonts w:asciiTheme="majorBidi" w:hAnsiTheme="majorBidi" w:cstheme="majorBidi"/>
          <w:color w:val="222222"/>
          <w:sz w:val="20"/>
          <w:szCs w:val="18"/>
        </w:rPr>
        <w:t>;</w:t>
      </w:r>
      <w:r w:rsidRPr="00036BDD">
        <w:rPr>
          <w:rFonts w:asciiTheme="majorBidi" w:hAnsiTheme="majorBidi" w:cstheme="majorBidi"/>
          <w:sz w:val="20"/>
          <w:szCs w:val="18"/>
        </w:rPr>
        <w:t>46</w:t>
      </w:r>
      <w:r w:rsidR="0019060D">
        <w:rPr>
          <w:rFonts w:asciiTheme="majorBidi" w:hAnsiTheme="majorBidi" w:cstheme="majorBidi"/>
          <w:color w:val="222222"/>
          <w:sz w:val="20"/>
          <w:szCs w:val="18"/>
        </w:rPr>
        <w:t>:</w:t>
      </w:r>
      <w:r w:rsidRPr="00036BDD">
        <w:rPr>
          <w:rFonts w:asciiTheme="majorBidi" w:hAnsiTheme="majorBidi" w:cstheme="majorBidi"/>
          <w:color w:val="222222"/>
          <w:sz w:val="20"/>
          <w:szCs w:val="18"/>
        </w:rPr>
        <w:t xml:space="preserve"> 250–254.</w:t>
      </w:r>
    </w:p>
    <w:p w14:paraId="166F967E" w14:textId="32364B58" w:rsidR="00DD508D" w:rsidRPr="00036BDD" w:rsidRDefault="00DD508D" w:rsidP="00404664">
      <w:pPr>
        <w:numPr>
          <w:ilvl w:val="0"/>
          <w:numId w:val="2"/>
        </w:numPr>
        <w:shd w:val="clear" w:color="auto" w:fill="FFFFFF"/>
        <w:spacing w:after="0" w:line="240" w:lineRule="auto"/>
        <w:ind w:left="360"/>
        <w:jc w:val="both"/>
        <w:rPr>
          <w:rFonts w:asciiTheme="majorBidi" w:hAnsiTheme="majorBidi" w:cstheme="majorBidi"/>
          <w:color w:val="222222"/>
          <w:sz w:val="20"/>
          <w:szCs w:val="18"/>
        </w:rPr>
      </w:pPr>
      <w:r w:rsidRPr="00036BDD">
        <w:rPr>
          <w:rFonts w:asciiTheme="majorBidi" w:hAnsiTheme="majorBidi" w:cstheme="majorBidi"/>
          <w:color w:val="222222"/>
          <w:sz w:val="20"/>
          <w:szCs w:val="18"/>
        </w:rPr>
        <w:t>Hughes TM</w:t>
      </w:r>
      <w:r w:rsidR="00E97681">
        <w:rPr>
          <w:rFonts w:asciiTheme="majorBidi" w:hAnsiTheme="majorBidi" w:cstheme="majorBidi"/>
          <w:color w:val="222222"/>
          <w:sz w:val="20"/>
          <w:szCs w:val="18"/>
        </w:rPr>
        <w:t>,</w:t>
      </w:r>
      <w:r w:rsidRPr="00036BDD">
        <w:rPr>
          <w:rFonts w:asciiTheme="majorBidi" w:hAnsiTheme="majorBidi" w:cstheme="majorBidi"/>
          <w:color w:val="222222"/>
          <w:sz w:val="20"/>
          <w:szCs w:val="18"/>
        </w:rPr>
        <w:t xml:space="preserve"> Elton C</w:t>
      </w:r>
      <w:r w:rsidR="003F3078">
        <w:rPr>
          <w:rFonts w:asciiTheme="majorBidi" w:hAnsiTheme="majorBidi" w:cstheme="majorBidi"/>
          <w:color w:val="222222"/>
          <w:sz w:val="20"/>
          <w:szCs w:val="18"/>
        </w:rPr>
        <w:t xml:space="preserve">, </w:t>
      </w:r>
      <w:r w:rsidRPr="00036BDD">
        <w:rPr>
          <w:rFonts w:asciiTheme="majorBidi" w:hAnsiTheme="majorBidi" w:cstheme="majorBidi"/>
          <w:color w:val="222222"/>
          <w:sz w:val="20"/>
          <w:szCs w:val="18"/>
        </w:rPr>
        <w:t>Hitos K</w:t>
      </w:r>
      <w:r w:rsidR="00B87894">
        <w:rPr>
          <w:rFonts w:asciiTheme="majorBidi" w:hAnsiTheme="majorBidi" w:cstheme="majorBidi"/>
          <w:color w:val="222222"/>
          <w:sz w:val="20"/>
          <w:szCs w:val="18"/>
        </w:rPr>
        <w:t xml:space="preserve">, </w:t>
      </w:r>
      <w:r w:rsidRPr="00036BDD">
        <w:rPr>
          <w:rFonts w:asciiTheme="majorBidi" w:hAnsiTheme="majorBidi" w:cstheme="majorBidi"/>
          <w:color w:val="222222"/>
          <w:sz w:val="20"/>
          <w:szCs w:val="18"/>
        </w:rPr>
        <w:t>Perez JV</w:t>
      </w:r>
      <w:r w:rsidR="001562ED">
        <w:rPr>
          <w:rFonts w:asciiTheme="majorBidi" w:hAnsiTheme="majorBidi" w:cstheme="majorBidi"/>
          <w:color w:val="222222"/>
          <w:sz w:val="20"/>
          <w:szCs w:val="18"/>
        </w:rPr>
        <w:t>,</w:t>
      </w:r>
      <w:r w:rsidRPr="00036BDD">
        <w:rPr>
          <w:rFonts w:asciiTheme="majorBidi" w:hAnsiTheme="majorBidi" w:cstheme="majorBidi"/>
          <w:color w:val="222222"/>
          <w:sz w:val="20"/>
          <w:szCs w:val="18"/>
        </w:rPr>
        <w:t xml:space="preserve"> McDougall PA. Intra-abdominal gastrointestinal tract injuries following blunt trauma: The experience of an Australian trauma centre. </w:t>
      </w:r>
      <w:r w:rsidRPr="00036BDD">
        <w:rPr>
          <w:rFonts w:asciiTheme="majorBidi" w:hAnsiTheme="majorBidi" w:cstheme="majorBidi"/>
          <w:sz w:val="20"/>
          <w:szCs w:val="18"/>
        </w:rPr>
        <w:t>Injury</w:t>
      </w:r>
      <w:r w:rsidRPr="00036BDD">
        <w:rPr>
          <w:rFonts w:asciiTheme="majorBidi" w:hAnsiTheme="majorBidi" w:cstheme="majorBidi"/>
          <w:color w:val="222222"/>
          <w:sz w:val="20"/>
          <w:szCs w:val="18"/>
        </w:rPr>
        <w:t> 2002</w:t>
      </w:r>
      <w:r w:rsidR="004F292C">
        <w:rPr>
          <w:rFonts w:asciiTheme="majorBidi" w:hAnsiTheme="majorBidi" w:cstheme="majorBidi"/>
          <w:color w:val="222222"/>
          <w:sz w:val="20"/>
          <w:szCs w:val="18"/>
        </w:rPr>
        <w:t>;</w:t>
      </w:r>
      <w:r w:rsidRPr="00036BDD">
        <w:rPr>
          <w:rFonts w:asciiTheme="majorBidi" w:hAnsiTheme="majorBidi" w:cstheme="majorBidi"/>
          <w:sz w:val="20"/>
          <w:szCs w:val="18"/>
        </w:rPr>
        <w:t>33</w:t>
      </w:r>
      <w:r w:rsidR="00404664">
        <w:rPr>
          <w:rFonts w:asciiTheme="majorBidi" w:hAnsiTheme="majorBidi" w:cstheme="majorBidi"/>
          <w:color w:val="222222"/>
          <w:sz w:val="20"/>
          <w:szCs w:val="18"/>
        </w:rPr>
        <w:t>:</w:t>
      </w:r>
      <w:r w:rsidRPr="00036BDD">
        <w:rPr>
          <w:rFonts w:asciiTheme="majorBidi" w:hAnsiTheme="majorBidi" w:cstheme="majorBidi"/>
          <w:color w:val="222222"/>
          <w:sz w:val="20"/>
          <w:szCs w:val="18"/>
        </w:rPr>
        <w:t xml:space="preserve">617–626. </w:t>
      </w:r>
    </w:p>
    <w:p w14:paraId="51ED22AF" w14:textId="4A407FB9" w:rsidR="00DD508D" w:rsidRPr="00036BDD" w:rsidRDefault="00DD508D" w:rsidP="000A7AED">
      <w:pPr>
        <w:numPr>
          <w:ilvl w:val="0"/>
          <w:numId w:val="2"/>
        </w:numPr>
        <w:shd w:val="clear" w:color="auto" w:fill="FFFFFF"/>
        <w:spacing w:after="0" w:line="240" w:lineRule="auto"/>
        <w:ind w:left="360"/>
        <w:jc w:val="both"/>
        <w:rPr>
          <w:rFonts w:asciiTheme="majorBidi" w:hAnsiTheme="majorBidi" w:cstheme="majorBidi"/>
          <w:color w:val="222222"/>
          <w:sz w:val="20"/>
          <w:szCs w:val="18"/>
        </w:rPr>
      </w:pPr>
      <w:r w:rsidRPr="00036BDD">
        <w:rPr>
          <w:rFonts w:asciiTheme="majorBidi" w:hAnsiTheme="majorBidi" w:cstheme="majorBidi"/>
          <w:color w:val="222222"/>
          <w:sz w:val="20"/>
          <w:szCs w:val="18"/>
        </w:rPr>
        <w:t>Cornwell EE, Velmahos GC</w:t>
      </w:r>
      <w:r w:rsidR="009A3009">
        <w:rPr>
          <w:rFonts w:asciiTheme="majorBidi" w:hAnsiTheme="majorBidi" w:cstheme="majorBidi"/>
          <w:color w:val="222222"/>
          <w:sz w:val="20"/>
          <w:szCs w:val="18"/>
        </w:rPr>
        <w:t>,</w:t>
      </w:r>
      <w:r w:rsidRPr="00036BDD">
        <w:rPr>
          <w:rFonts w:asciiTheme="majorBidi" w:hAnsiTheme="majorBidi" w:cstheme="majorBidi"/>
          <w:color w:val="222222"/>
          <w:sz w:val="20"/>
          <w:szCs w:val="18"/>
        </w:rPr>
        <w:t xml:space="preserve"> Berne TV</w:t>
      </w:r>
      <w:r w:rsidR="00ED16D0">
        <w:rPr>
          <w:rFonts w:asciiTheme="majorBidi" w:hAnsiTheme="majorBidi" w:cstheme="majorBidi"/>
          <w:color w:val="222222"/>
          <w:sz w:val="20"/>
          <w:szCs w:val="18"/>
        </w:rPr>
        <w:t>,</w:t>
      </w:r>
      <w:r w:rsidRPr="00036BDD">
        <w:rPr>
          <w:rFonts w:asciiTheme="majorBidi" w:hAnsiTheme="majorBidi" w:cstheme="majorBidi"/>
          <w:color w:val="222222"/>
          <w:sz w:val="20"/>
          <w:szCs w:val="18"/>
        </w:rPr>
        <w:t xml:space="preserve"> Murray JA</w:t>
      </w:r>
      <w:r w:rsidR="00ED47FB">
        <w:rPr>
          <w:rFonts w:asciiTheme="majorBidi" w:hAnsiTheme="majorBidi" w:cstheme="majorBidi"/>
          <w:color w:val="222222"/>
          <w:sz w:val="20"/>
          <w:szCs w:val="18"/>
        </w:rPr>
        <w:t xml:space="preserve">, </w:t>
      </w:r>
      <w:r w:rsidRPr="00036BDD">
        <w:rPr>
          <w:rFonts w:asciiTheme="majorBidi" w:hAnsiTheme="majorBidi" w:cstheme="majorBidi"/>
          <w:color w:val="222222"/>
          <w:sz w:val="20"/>
          <w:szCs w:val="18"/>
        </w:rPr>
        <w:t>Chahwan S</w:t>
      </w:r>
      <w:r w:rsidR="00B41FFD">
        <w:rPr>
          <w:rFonts w:asciiTheme="majorBidi" w:hAnsiTheme="majorBidi" w:cstheme="majorBidi"/>
          <w:color w:val="222222"/>
          <w:sz w:val="20"/>
          <w:szCs w:val="18"/>
        </w:rPr>
        <w:t xml:space="preserve">, </w:t>
      </w:r>
      <w:r w:rsidRPr="00036BDD">
        <w:rPr>
          <w:rFonts w:asciiTheme="majorBidi" w:hAnsiTheme="majorBidi" w:cstheme="majorBidi"/>
          <w:color w:val="222222"/>
          <w:sz w:val="20"/>
          <w:szCs w:val="18"/>
        </w:rPr>
        <w:t>Asensio J</w:t>
      </w:r>
      <w:r w:rsidR="00416757">
        <w:rPr>
          <w:rFonts w:asciiTheme="majorBidi" w:hAnsiTheme="majorBidi" w:cstheme="majorBidi"/>
          <w:color w:val="222222"/>
          <w:sz w:val="20"/>
          <w:szCs w:val="18"/>
        </w:rPr>
        <w:t xml:space="preserve">, </w:t>
      </w:r>
      <w:r w:rsidR="001E0187">
        <w:rPr>
          <w:rFonts w:asciiTheme="majorBidi" w:hAnsiTheme="majorBidi" w:cstheme="majorBidi"/>
          <w:color w:val="222222"/>
          <w:sz w:val="20"/>
          <w:szCs w:val="18"/>
        </w:rPr>
        <w:t>et al</w:t>
      </w:r>
      <w:r w:rsidRPr="00036BDD">
        <w:rPr>
          <w:rFonts w:asciiTheme="majorBidi" w:hAnsiTheme="majorBidi" w:cstheme="majorBidi"/>
          <w:color w:val="222222"/>
          <w:sz w:val="20"/>
          <w:szCs w:val="18"/>
        </w:rPr>
        <w:t>. The fate of colonic suture lines in high-risk trauma patients: A prospective analysis. </w:t>
      </w:r>
      <w:r w:rsidRPr="00036BDD">
        <w:rPr>
          <w:rFonts w:asciiTheme="majorBidi" w:hAnsiTheme="majorBidi" w:cstheme="majorBidi"/>
          <w:sz w:val="20"/>
          <w:szCs w:val="18"/>
        </w:rPr>
        <w:t>J Am Coll Surg</w:t>
      </w:r>
      <w:r w:rsidRPr="00036BDD">
        <w:rPr>
          <w:rFonts w:asciiTheme="majorBidi" w:hAnsiTheme="majorBidi" w:cstheme="majorBidi"/>
          <w:color w:val="222222"/>
          <w:sz w:val="20"/>
          <w:szCs w:val="18"/>
        </w:rPr>
        <w:t> 1998</w:t>
      </w:r>
      <w:r w:rsidR="000A7AED">
        <w:rPr>
          <w:rFonts w:asciiTheme="majorBidi" w:hAnsiTheme="majorBidi" w:cstheme="majorBidi"/>
          <w:color w:val="222222"/>
          <w:sz w:val="20"/>
          <w:szCs w:val="18"/>
        </w:rPr>
        <w:t>;</w:t>
      </w:r>
      <w:r w:rsidRPr="00036BDD">
        <w:rPr>
          <w:rFonts w:asciiTheme="majorBidi" w:hAnsiTheme="majorBidi" w:cstheme="majorBidi"/>
          <w:sz w:val="20"/>
          <w:szCs w:val="18"/>
        </w:rPr>
        <w:t>187</w:t>
      </w:r>
      <w:r w:rsidR="000A7AED">
        <w:rPr>
          <w:rFonts w:asciiTheme="majorBidi" w:hAnsiTheme="majorBidi" w:cstheme="majorBidi"/>
          <w:color w:val="222222"/>
          <w:sz w:val="20"/>
          <w:szCs w:val="18"/>
        </w:rPr>
        <w:t>:</w:t>
      </w:r>
      <w:r w:rsidR="008B435B">
        <w:rPr>
          <w:rFonts w:asciiTheme="majorBidi" w:hAnsiTheme="majorBidi" w:cstheme="majorBidi"/>
          <w:color w:val="222222"/>
          <w:sz w:val="20"/>
          <w:szCs w:val="18"/>
        </w:rPr>
        <w:br/>
      </w:r>
      <w:r w:rsidRPr="00036BDD">
        <w:rPr>
          <w:rFonts w:asciiTheme="majorBidi" w:hAnsiTheme="majorBidi" w:cstheme="majorBidi"/>
          <w:color w:val="222222"/>
          <w:sz w:val="20"/>
          <w:szCs w:val="18"/>
        </w:rPr>
        <w:t>58–63.</w:t>
      </w:r>
    </w:p>
    <w:p w14:paraId="11587549" w14:textId="2CC805E4" w:rsidR="00DD508D" w:rsidRPr="00036BDD" w:rsidRDefault="00DD508D" w:rsidP="007C7315">
      <w:pPr>
        <w:numPr>
          <w:ilvl w:val="0"/>
          <w:numId w:val="2"/>
        </w:numPr>
        <w:shd w:val="clear" w:color="auto" w:fill="FFFFFF"/>
        <w:spacing w:after="0" w:line="240" w:lineRule="auto"/>
        <w:ind w:left="360"/>
        <w:jc w:val="both"/>
        <w:rPr>
          <w:rFonts w:asciiTheme="majorBidi" w:hAnsiTheme="majorBidi" w:cstheme="majorBidi"/>
          <w:color w:val="222222"/>
          <w:sz w:val="20"/>
          <w:szCs w:val="18"/>
        </w:rPr>
      </w:pPr>
      <w:r w:rsidRPr="00036BDD">
        <w:rPr>
          <w:rFonts w:asciiTheme="majorBidi" w:hAnsiTheme="majorBidi" w:cstheme="majorBidi"/>
          <w:color w:val="222222"/>
          <w:sz w:val="20"/>
          <w:szCs w:val="18"/>
        </w:rPr>
        <w:t>Zheng YX</w:t>
      </w:r>
      <w:r w:rsidR="006A53C7">
        <w:rPr>
          <w:rFonts w:asciiTheme="majorBidi" w:hAnsiTheme="majorBidi" w:cstheme="majorBidi"/>
          <w:color w:val="222222"/>
          <w:sz w:val="20"/>
          <w:szCs w:val="18"/>
        </w:rPr>
        <w:t>,</w:t>
      </w:r>
      <w:r w:rsidRPr="00036BDD">
        <w:rPr>
          <w:rFonts w:asciiTheme="majorBidi" w:hAnsiTheme="majorBidi" w:cstheme="majorBidi"/>
          <w:color w:val="222222"/>
          <w:sz w:val="20"/>
          <w:szCs w:val="18"/>
        </w:rPr>
        <w:t xml:space="preserve"> Chen L</w:t>
      </w:r>
      <w:r w:rsidR="009F2BCB">
        <w:rPr>
          <w:rFonts w:asciiTheme="majorBidi" w:hAnsiTheme="majorBidi" w:cstheme="majorBidi"/>
          <w:color w:val="222222"/>
          <w:sz w:val="20"/>
          <w:szCs w:val="18"/>
        </w:rPr>
        <w:t xml:space="preserve">, </w:t>
      </w:r>
      <w:r w:rsidRPr="00036BDD">
        <w:rPr>
          <w:rFonts w:asciiTheme="majorBidi" w:hAnsiTheme="majorBidi" w:cstheme="majorBidi"/>
          <w:color w:val="222222"/>
          <w:sz w:val="20"/>
          <w:szCs w:val="18"/>
        </w:rPr>
        <w:t>Tao SF</w:t>
      </w:r>
      <w:r w:rsidR="00B5484E">
        <w:rPr>
          <w:rFonts w:asciiTheme="majorBidi" w:hAnsiTheme="majorBidi" w:cstheme="majorBidi"/>
          <w:color w:val="222222"/>
          <w:sz w:val="20"/>
          <w:szCs w:val="18"/>
        </w:rPr>
        <w:t xml:space="preserve">, </w:t>
      </w:r>
      <w:r w:rsidRPr="00036BDD">
        <w:rPr>
          <w:rFonts w:asciiTheme="majorBidi" w:hAnsiTheme="majorBidi" w:cstheme="majorBidi"/>
          <w:color w:val="222222"/>
          <w:sz w:val="20"/>
          <w:szCs w:val="18"/>
        </w:rPr>
        <w:t>Song P</w:t>
      </w:r>
      <w:r w:rsidR="00464331">
        <w:rPr>
          <w:rFonts w:asciiTheme="majorBidi" w:hAnsiTheme="majorBidi" w:cstheme="majorBidi"/>
          <w:color w:val="222222"/>
          <w:sz w:val="20"/>
          <w:szCs w:val="18"/>
        </w:rPr>
        <w:t xml:space="preserve">, </w:t>
      </w:r>
      <w:r w:rsidRPr="00036BDD">
        <w:rPr>
          <w:rFonts w:asciiTheme="majorBidi" w:hAnsiTheme="majorBidi" w:cstheme="majorBidi"/>
          <w:color w:val="222222"/>
          <w:sz w:val="20"/>
          <w:szCs w:val="18"/>
        </w:rPr>
        <w:t>Xu SM. Diagnosis and management of colonic injuries following blunt trauma. </w:t>
      </w:r>
      <w:r w:rsidRPr="00036BDD">
        <w:rPr>
          <w:rFonts w:asciiTheme="majorBidi" w:hAnsiTheme="majorBidi" w:cstheme="majorBidi"/>
          <w:sz w:val="20"/>
          <w:szCs w:val="18"/>
        </w:rPr>
        <w:t>World J Gastroenterol</w:t>
      </w:r>
      <w:r w:rsidR="0019577C">
        <w:rPr>
          <w:rFonts w:asciiTheme="majorBidi" w:hAnsiTheme="majorBidi" w:cstheme="majorBidi"/>
          <w:sz w:val="20"/>
          <w:szCs w:val="18"/>
        </w:rPr>
        <w:t xml:space="preserve"> </w:t>
      </w:r>
      <w:r w:rsidRPr="00036BDD">
        <w:rPr>
          <w:rFonts w:asciiTheme="majorBidi" w:hAnsiTheme="majorBidi" w:cstheme="majorBidi"/>
          <w:color w:val="222222"/>
          <w:sz w:val="20"/>
          <w:szCs w:val="18"/>
        </w:rPr>
        <w:t>2007</w:t>
      </w:r>
      <w:r w:rsidR="00A9422A">
        <w:rPr>
          <w:rFonts w:asciiTheme="majorBidi" w:hAnsiTheme="majorBidi" w:cstheme="majorBidi"/>
          <w:color w:val="222222"/>
          <w:sz w:val="20"/>
          <w:szCs w:val="18"/>
        </w:rPr>
        <w:t>;</w:t>
      </w:r>
      <w:r w:rsidRPr="00036BDD">
        <w:rPr>
          <w:rFonts w:asciiTheme="majorBidi" w:hAnsiTheme="majorBidi" w:cstheme="majorBidi"/>
          <w:sz w:val="20"/>
          <w:szCs w:val="18"/>
        </w:rPr>
        <w:t>13</w:t>
      </w:r>
      <w:r w:rsidR="007C7315">
        <w:rPr>
          <w:rFonts w:asciiTheme="majorBidi" w:hAnsiTheme="majorBidi" w:cstheme="majorBidi"/>
          <w:color w:val="222222"/>
          <w:sz w:val="20"/>
          <w:szCs w:val="18"/>
        </w:rPr>
        <w:t>:</w:t>
      </w:r>
      <w:r w:rsidRPr="00036BDD">
        <w:rPr>
          <w:rFonts w:asciiTheme="majorBidi" w:hAnsiTheme="majorBidi" w:cstheme="majorBidi"/>
          <w:color w:val="222222"/>
          <w:sz w:val="20"/>
          <w:szCs w:val="18"/>
        </w:rPr>
        <w:t xml:space="preserve">633–636. </w:t>
      </w:r>
    </w:p>
    <w:p w14:paraId="09981F9B" w14:textId="1BD6455B" w:rsidR="00DD508D" w:rsidRPr="00036BDD" w:rsidRDefault="00DD508D" w:rsidP="00CB223C">
      <w:pPr>
        <w:numPr>
          <w:ilvl w:val="0"/>
          <w:numId w:val="2"/>
        </w:numPr>
        <w:shd w:val="clear" w:color="auto" w:fill="FFFFFF"/>
        <w:spacing w:after="0" w:line="240" w:lineRule="auto"/>
        <w:ind w:left="360"/>
        <w:jc w:val="both"/>
        <w:rPr>
          <w:rFonts w:asciiTheme="majorBidi" w:hAnsiTheme="majorBidi" w:cstheme="majorBidi"/>
          <w:color w:val="222222"/>
          <w:sz w:val="20"/>
          <w:szCs w:val="18"/>
        </w:rPr>
      </w:pPr>
      <w:r w:rsidRPr="00036BDD">
        <w:rPr>
          <w:rFonts w:asciiTheme="majorBidi" w:hAnsiTheme="majorBidi" w:cstheme="majorBidi"/>
          <w:color w:val="222222"/>
          <w:sz w:val="20"/>
          <w:szCs w:val="18"/>
        </w:rPr>
        <w:t>Carrillo EH</w:t>
      </w:r>
      <w:r w:rsidR="008052BE">
        <w:rPr>
          <w:rFonts w:asciiTheme="majorBidi" w:hAnsiTheme="majorBidi" w:cstheme="majorBidi"/>
          <w:color w:val="222222"/>
          <w:sz w:val="20"/>
          <w:szCs w:val="18"/>
        </w:rPr>
        <w:t xml:space="preserve">, </w:t>
      </w:r>
      <w:r w:rsidRPr="00036BDD">
        <w:rPr>
          <w:rFonts w:asciiTheme="majorBidi" w:hAnsiTheme="majorBidi" w:cstheme="majorBidi"/>
          <w:color w:val="222222"/>
          <w:sz w:val="20"/>
          <w:szCs w:val="18"/>
        </w:rPr>
        <w:t>Somberg LB</w:t>
      </w:r>
      <w:r w:rsidR="006F42B5">
        <w:rPr>
          <w:rFonts w:asciiTheme="majorBidi" w:hAnsiTheme="majorBidi" w:cstheme="majorBidi"/>
          <w:color w:val="222222"/>
          <w:sz w:val="20"/>
          <w:szCs w:val="18"/>
        </w:rPr>
        <w:t xml:space="preserve">, </w:t>
      </w:r>
      <w:r w:rsidRPr="00036BDD">
        <w:rPr>
          <w:rFonts w:asciiTheme="majorBidi" w:hAnsiTheme="majorBidi" w:cstheme="majorBidi"/>
          <w:color w:val="222222"/>
          <w:sz w:val="20"/>
          <w:szCs w:val="18"/>
        </w:rPr>
        <w:t>Ceballos CE</w:t>
      </w:r>
      <w:r w:rsidR="00072F7C">
        <w:rPr>
          <w:rFonts w:asciiTheme="majorBidi" w:hAnsiTheme="majorBidi" w:cstheme="majorBidi"/>
          <w:color w:val="222222"/>
          <w:sz w:val="20"/>
          <w:szCs w:val="18"/>
        </w:rPr>
        <w:t>,</w:t>
      </w:r>
      <w:r w:rsidRPr="00036BDD">
        <w:rPr>
          <w:rFonts w:asciiTheme="majorBidi" w:hAnsiTheme="majorBidi" w:cstheme="majorBidi"/>
          <w:color w:val="222222"/>
          <w:sz w:val="20"/>
          <w:szCs w:val="18"/>
        </w:rPr>
        <w:t xml:space="preserve"> Martini MA</w:t>
      </w:r>
      <w:r w:rsidR="008625C8">
        <w:rPr>
          <w:rFonts w:asciiTheme="majorBidi" w:hAnsiTheme="majorBidi" w:cstheme="majorBidi"/>
          <w:color w:val="222222"/>
          <w:sz w:val="20"/>
          <w:szCs w:val="18"/>
        </w:rPr>
        <w:t xml:space="preserve"> </w:t>
      </w:r>
      <w:r w:rsidRPr="00036BDD">
        <w:rPr>
          <w:rFonts w:asciiTheme="majorBidi" w:hAnsiTheme="majorBidi" w:cstheme="majorBidi"/>
          <w:color w:val="222222"/>
          <w:sz w:val="20"/>
          <w:szCs w:val="18"/>
        </w:rPr>
        <w:t>Jr</w:t>
      </w:r>
      <w:r w:rsidR="00BD1DE0">
        <w:rPr>
          <w:rFonts w:asciiTheme="majorBidi" w:hAnsiTheme="majorBidi" w:cstheme="majorBidi"/>
          <w:color w:val="222222"/>
          <w:sz w:val="20"/>
          <w:szCs w:val="18"/>
        </w:rPr>
        <w:t xml:space="preserve">, </w:t>
      </w:r>
      <w:r w:rsidRPr="00036BDD">
        <w:rPr>
          <w:rFonts w:asciiTheme="majorBidi" w:hAnsiTheme="majorBidi" w:cstheme="majorBidi"/>
          <w:color w:val="222222"/>
          <w:sz w:val="20"/>
          <w:szCs w:val="18"/>
        </w:rPr>
        <w:t>Ginzburg E</w:t>
      </w:r>
      <w:r w:rsidR="007A1C46">
        <w:rPr>
          <w:rFonts w:asciiTheme="majorBidi" w:hAnsiTheme="majorBidi" w:cstheme="majorBidi"/>
          <w:color w:val="222222"/>
          <w:sz w:val="20"/>
          <w:szCs w:val="18"/>
        </w:rPr>
        <w:t xml:space="preserve">, </w:t>
      </w:r>
      <w:r w:rsidRPr="00036BDD">
        <w:rPr>
          <w:rFonts w:asciiTheme="majorBidi" w:hAnsiTheme="majorBidi" w:cstheme="majorBidi"/>
          <w:color w:val="222222"/>
          <w:sz w:val="20"/>
          <w:szCs w:val="18"/>
        </w:rPr>
        <w:t>Sosa JL</w:t>
      </w:r>
      <w:r w:rsidR="00971AD6">
        <w:rPr>
          <w:rFonts w:asciiTheme="majorBidi" w:hAnsiTheme="majorBidi" w:cstheme="majorBidi"/>
          <w:color w:val="222222"/>
          <w:sz w:val="20"/>
          <w:szCs w:val="18"/>
        </w:rPr>
        <w:t xml:space="preserve">, </w:t>
      </w:r>
      <w:r w:rsidR="003D0520">
        <w:rPr>
          <w:rFonts w:asciiTheme="majorBidi" w:hAnsiTheme="majorBidi" w:cstheme="majorBidi"/>
          <w:color w:val="222222"/>
          <w:sz w:val="20"/>
          <w:szCs w:val="18"/>
        </w:rPr>
        <w:t xml:space="preserve">et al. </w:t>
      </w:r>
      <w:r w:rsidRPr="00036BDD">
        <w:rPr>
          <w:rFonts w:asciiTheme="majorBidi" w:hAnsiTheme="majorBidi" w:cstheme="majorBidi"/>
          <w:color w:val="222222"/>
          <w:sz w:val="20"/>
          <w:szCs w:val="18"/>
        </w:rPr>
        <w:t>Blunt traumatic injuries to the colon and rectum. </w:t>
      </w:r>
      <w:r w:rsidRPr="00036BDD">
        <w:rPr>
          <w:rFonts w:asciiTheme="majorBidi" w:hAnsiTheme="majorBidi" w:cstheme="majorBidi"/>
          <w:sz w:val="20"/>
          <w:szCs w:val="18"/>
        </w:rPr>
        <w:t>J Am Coll Surg</w:t>
      </w:r>
      <w:r w:rsidRPr="00036BDD">
        <w:rPr>
          <w:rFonts w:asciiTheme="majorBidi" w:hAnsiTheme="majorBidi" w:cstheme="majorBidi"/>
          <w:color w:val="222222"/>
          <w:sz w:val="20"/>
          <w:szCs w:val="18"/>
        </w:rPr>
        <w:t> 1996</w:t>
      </w:r>
      <w:r w:rsidR="00CB223C">
        <w:rPr>
          <w:rFonts w:asciiTheme="majorBidi" w:hAnsiTheme="majorBidi" w:cstheme="majorBidi"/>
          <w:color w:val="222222"/>
          <w:sz w:val="20"/>
          <w:szCs w:val="18"/>
        </w:rPr>
        <w:t>;</w:t>
      </w:r>
      <w:r w:rsidRPr="00036BDD">
        <w:rPr>
          <w:rFonts w:asciiTheme="majorBidi" w:hAnsiTheme="majorBidi" w:cstheme="majorBidi"/>
          <w:sz w:val="20"/>
          <w:szCs w:val="18"/>
        </w:rPr>
        <w:t>183</w:t>
      </w:r>
      <w:r w:rsidR="00ED5A12">
        <w:rPr>
          <w:rFonts w:asciiTheme="majorBidi" w:hAnsiTheme="majorBidi" w:cstheme="majorBidi"/>
          <w:sz w:val="20"/>
          <w:szCs w:val="18"/>
        </w:rPr>
        <w:t>:</w:t>
      </w:r>
      <w:r w:rsidRPr="00036BDD">
        <w:rPr>
          <w:rFonts w:asciiTheme="majorBidi" w:hAnsiTheme="majorBidi" w:cstheme="majorBidi"/>
          <w:color w:val="222222"/>
          <w:sz w:val="20"/>
          <w:szCs w:val="18"/>
        </w:rPr>
        <w:t xml:space="preserve">548–552. </w:t>
      </w:r>
    </w:p>
    <w:p w14:paraId="55212AEA" w14:textId="041982EC" w:rsidR="00C313D4" w:rsidRPr="00036BDD" w:rsidRDefault="00DD508D" w:rsidP="00E00FD7">
      <w:pPr>
        <w:pStyle w:val="ListParagraph"/>
        <w:numPr>
          <w:ilvl w:val="0"/>
          <w:numId w:val="2"/>
        </w:numPr>
        <w:shd w:val="clear" w:color="auto" w:fill="FFFFFF"/>
        <w:spacing w:after="0" w:line="240" w:lineRule="auto"/>
        <w:ind w:left="360"/>
        <w:jc w:val="both"/>
        <w:rPr>
          <w:rFonts w:asciiTheme="majorBidi" w:hAnsiTheme="majorBidi" w:cstheme="majorBidi"/>
          <w:szCs w:val="20"/>
        </w:rPr>
      </w:pPr>
      <w:r w:rsidRPr="00036BDD">
        <w:rPr>
          <w:rFonts w:asciiTheme="majorBidi" w:hAnsiTheme="majorBidi" w:cstheme="majorBidi"/>
          <w:color w:val="222222"/>
          <w:szCs w:val="18"/>
        </w:rPr>
        <w:t>Williams MD</w:t>
      </w:r>
      <w:r w:rsidR="00EA2317">
        <w:rPr>
          <w:rFonts w:asciiTheme="majorBidi" w:hAnsiTheme="majorBidi" w:cstheme="majorBidi"/>
          <w:color w:val="222222"/>
          <w:szCs w:val="18"/>
          <w:lang w:val="en-US"/>
        </w:rPr>
        <w:t>,</w:t>
      </w:r>
      <w:r w:rsidRPr="00036BDD">
        <w:rPr>
          <w:rFonts w:asciiTheme="majorBidi" w:hAnsiTheme="majorBidi" w:cstheme="majorBidi"/>
          <w:color w:val="222222"/>
          <w:szCs w:val="18"/>
        </w:rPr>
        <w:t xml:space="preserve"> Watts D</w:t>
      </w:r>
      <w:r w:rsidR="001162B9">
        <w:rPr>
          <w:rFonts w:asciiTheme="majorBidi" w:hAnsiTheme="majorBidi" w:cstheme="majorBidi"/>
          <w:color w:val="222222"/>
          <w:szCs w:val="18"/>
          <w:lang w:val="en-US"/>
        </w:rPr>
        <w:t>,</w:t>
      </w:r>
      <w:r w:rsidRPr="00036BDD">
        <w:rPr>
          <w:rFonts w:asciiTheme="majorBidi" w:hAnsiTheme="majorBidi" w:cstheme="majorBidi"/>
          <w:color w:val="222222"/>
          <w:szCs w:val="18"/>
        </w:rPr>
        <w:t xml:space="preserve"> Fakhry S. Colon injury after blunt abdominal trauma: Results of the EAST Multi-Institutional Hollow Viscus Injury Study. </w:t>
      </w:r>
      <w:r w:rsidRPr="00036BDD">
        <w:rPr>
          <w:rFonts w:asciiTheme="majorBidi" w:hAnsiTheme="majorBidi" w:cstheme="majorBidi"/>
          <w:szCs w:val="18"/>
        </w:rPr>
        <w:t>J Trauma</w:t>
      </w:r>
      <w:r w:rsidRPr="00036BDD">
        <w:rPr>
          <w:rFonts w:asciiTheme="majorBidi" w:hAnsiTheme="majorBidi" w:cstheme="majorBidi"/>
          <w:color w:val="222222"/>
          <w:szCs w:val="18"/>
        </w:rPr>
        <w:t> 2003</w:t>
      </w:r>
      <w:r w:rsidR="00E00FD7">
        <w:rPr>
          <w:rFonts w:asciiTheme="majorBidi" w:hAnsiTheme="majorBidi" w:cstheme="majorBidi"/>
          <w:color w:val="222222"/>
          <w:szCs w:val="18"/>
          <w:lang w:val="en-US"/>
        </w:rPr>
        <w:t>;</w:t>
      </w:r>
      <w:r w:rsidRPr="00036BDD">
        <w:rPr>
          <w:rFonts w:asciiTheme="majorBidi" w:hAnsiTheme="majorBidi" w:cstheme="majorBidi"/>
          <w:szCs w:val="18"/>
        </w:rPr>
        <w:t>55</w:t>
      </w:r>
      <w:r w:rsidR="00E00FD7">
        <w:rPr>
          <w:rFonts w:asciiTheme="majorBidi" w:hAnsiTheme="majorBidi" w:cstheme="majorBidi"/>
          <w:color w:val="222222"/>
          <w:szCs w:val="18"/>
          <w:lang w:val="en-US"/>
        </w:rPr>
        <w:t>:</w:t>
      </w:r>
      <w:r w:rsidRPr="00036BDD">
        <w:rPr>
          <w:rFonts w:asciiTheme="majorBidi" w:hAnsiTheme="majorBidi" w:cstheme="majorBidi"/>
          <w:color w:val="222222"/>
          <w:szCs w:val="18"/>
        </w:rPr>
        <w:t>906–912.</w:t>
      </w:r>
    </w:p>
    <w:p w14:paraId="74783D54" w14:textId="77777777" w:rsidR="00B229D0" w:rsidRPr="00EF6B19" w:rsidRDefault="00B229D0" w:rsidP="00EF6B19">
      <w:pPr>
        <w:shd w:val="clear" w:color="auto" w:fill="FFFFFF"/>
        <w:spacing w:after="0" w:line="240" w:lineRule="auto"/>
        <w:rPr>
          <w:rFonts w:ascii="Times New Roman" w:hAnsi="Times New Roman"/>
          <w:b/>
          <w:sz w:val="20"/>
        </w:rPr>
        <w:sectPr w:rsidR="00B229D0" w:rsidRPr="00EF6B19" w:rsidSect="0072738F">
          <w:type w:val="continuous"/>
          <w:pgSz w:w="12240" w:h="15840"/>
          <w:pgMar w:top="1080" w:right="1440" w:bottom="1440" w:left="1440" w:header="720" w:footer="720" w:gutter="0"/>
          <w:cols w:num="2" w:space="360"/>
          <w:docGrid w:linePitch="360"/>
        </w:sectPr>
      </w:pPr>
    </w:p>
    <w:p w14:paraId="43D5B60D" w14:textId="77777777" w:rsidR="005F3AA6" w:rsidRPr="00EF6B19" w:rsidRDefault="005F3AA6" w:rsidP="00EF6B19">
      <w:pPr>
        <w:shd w:val="clear" w:color="auto" w:fill="FFFFFF"/>
        <w:spacing w:after="0" w:line="240" w:lineRule="auto"/>
        <w:rPr>
          <w:rFonts w:ascii="Times New Roman" w:hAnsi="Times New Roman"/>
          <w:b/>
          <w:sz w:val="20"/>
        </w:rPr>
      </w:pPr>
    </w:p>
    <w:sectPr w:rsidR="005F3AA6" w:rsidRPr="00EF6B19" w:rsidSect="00B229D0">
      <w:type w:val="continuous"/>
      <w:pgSz w:w="12240" w:h="15840"/>
      <w:pgMar w:top="1080" w:right="1440" w:bottom="1440" w:left="144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053E0" w14:textId="77777777" w:rsidR="00447605" w:rsidRDefault="00447605" w:rsidP="00930624">
      <w:pPr>
        <w:spacing w:after="0" w:line="240" w:lineRule="auto"/>
      </w:pPr>
      <w:r>
        <w:separator/>
      </w:r>
    </w:p>
  </w:endnote>
  <w:endnote w:type="continuationSeparator" w:id="0">
    <w:p w14:paraId="6D6AE094" w14:textId="77777777" w:rsidR="00447605" w:rsidRDefault="00447605" w:rsidP="0093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28948" w14:textId="77777777" w:rsidR="00447605" w:rsidRDefault="00447605" w:rsidP="00930624">
      <w:pPr>
        <w:spacing w:after="0" w:line="240" w:lineRule="auto"/>
      </w:pPr>
      <w:r>
        <w:separator/>
      </w:r>
    </w:p>
  </w:footnote>
  <w:footnote w:type="continuationSeparator" w:id="0">
    <w:p w14:paraId="53CE6191" w14:textId="77777777" w:rsidR="00447605" w:rsidRDefault="00447605" w:rsidP="0093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8E60" w14:textId="5866FE6A" w:rsidR="00930624" w:rsidRPr="000C0C2B" w:rsidRDefault="00930624" w:rsidP="00F325B5">
    <w:pPr>
      <w:pStyle w:val="Header"/>
      <w:rPr>
        <w:rFonts w:ascii="Times New Roman" w:hAnsi="Times New Roman"/>
        <w:sz w:val="24"/>
        <w:szCs w:val="24"/>
        <w:u w:val="single"/>
      </w:rPr>
    </w:pPr>
    <w:r w:rsidRPr="000C0C2B">
      <w:rPr>
        <w:rFonts w:ascii="Times New Roman" w:hAnsi="Times New Roman"/>
        <w:b/>
        <w:sz w:val="24"/>
        <w:szCs w:val="24"/>
        <w:u w:val="single"/>
      </w:rPr>
      <w:t xml:space="preserve">Med. Forum, Vol. </w:t>
    </w:r>
    <w:r w:rsidR="0008744C">
      <w:rPr>
        <w:rFonts w:ascii="Times New Roman" w:hAnsi="Times New Roman"/>
        <w:b/>
        <w:sz w:val="24"/>
        <w:szCs w:val="24"/>
        <w:u w:val="single"/>
      </w:rPr>
      <w:t>3</w:t>
    </w:r>
    <w:r w:rsidR="00B05548">
      <w:rPr>
        <w:rFonts w:ascii="Times New Roman" w:hAnsi="Times New Roman"/>
        <w:b/>
        <w:sz w:val="24"/>
        <w:szCs w:val="24"/>
        <w:u w:val="single"/>
      </w:rPr>
      <w:t>3</w:t>
    </w:r>
    <w:r w:rsidRPr="000C0C2B">
      <w:rPr>
        <w:rFonts w:ascii="Times New Roman" w:hAnsi="Times New Roman"/>
        <w:b/>
        <w:sz w:val="24"/>
        <w:szCs w:val="24"/>
        <w:u w:val="single"/>
      </w:rPr>
      <w:t xml:space="preserve">, No. </w:t>
    </w:r>
    <w:r w:rsidR="00EA4C79">
      <w:rPr>
        <w:rFonts w:ascii="Times New Roman" w:hAnsi="Times New Roman"/>
        <w:b/>
        <w:sz w:val="24"/>
        <w:szCs w:val="24"/>
        <w:u w:val="single"/>
      </w:rPr>
      <w:t>1</w:t>
    </w:r>
    <w:r w:rsidR="00F325B5">
      <w:rPr>
        <w:rFonts w:ascii="Times New Roman" w:hAnsi="Times New Roman"/>
        <w:b/>
        <w:sz w:val="24"/>
        <w:szCs w:val="24"/>
        <w:u w:val="single"/>
      </w:rPr>
      <w:t>1</w:t>
    </w:r>
    <w:r w:rsidRPr="000C0C2B">
      <w:rPr>
        <w:rFonts w:ascii="Times New Roman" w:hAnsi="Times New Roman"/>
        <w:b/>
        <w:sz w:val="24"/>
        <w:szCs w:val="24"/>
        <w:u w:val="single"/>
      </w:rPr>
      <w:tab/>
    </w:r>
    <w:r w:rsidR="00B47C14" w:rsidRPr="000C0C2B">
      <w:rPr>
        <w:rFonts w:ascii="Times New Roman" w:hAnsi="Times New Roman"/>
        <w:b/>
        <w:sz w:val="24"/>
        <w:szCs w:val="24"/>
        <w:u w:val="single"/>
      </w:rPr>
      <w:fldChar w:fldCharType="begin"/>
    </w:r>
    <w:r w:rsidR="00B47C14" w:rsidRPr="000C0C2B">
      <w:rPr>
        <w:rFonts w:ascii="Times New Roman" w:hAnsi="Times New Roman"/>
        <w:b/>
        <w:sz w:val="24"/>
        <w:szCs w:val="24"/>
        <w:u w:val="single"/>
      </w:rPr>
      <w:instrText xml:space="preserve"> PAGE   \* MERGEFORMAT </w:instrText>
    </w:r>
    <w:r w:rsidR="00B47C14" w:rsidRPr="000C0C2B">
      <w:rPr>
        <w:rFonts w:ascii="Times New Roman" w:hAnsi="Times New Roman"/>
        <w:b/>
        <w:sz w:val="24"/>
        <w:szCs w:val="24"/>
        <w:u w:val="single"/>
      </w:rPr>
      <w:fldChar w:fldCharType="separate"/>
    </w:r>
    <w:r w:rsidR="00CF3793">
      <w:rPr>
        <w:rFonts w:ascii="Times New Roman" w:hAnsi="Times New Roman"/>
        <w:b/>
        <w:noProof/>
        <w:sz w:val="24"/>
        <w:szCs w:val="24"/>
        <w:u w:val="single"/>
      </w:rPr>
      <w:t>55</w:t>
    </w:r>
    <w:r w:rsidR="00B47C14" w:rsidRPr="000C0C2B">
      <w:rPr>
        <w:rFonts w:ascii="Times New Roman" w:hAnsi="Times New Roman"/>
        <w:b/>
        <w:sz w:val="24"/>
        <w:szCs w:val="24"/>
        <w:u w:val="single"/>
      </w:rPr>
      <w:fldChar w:fldCharType="end"/>
    </w:r>
    <w:r w:rsidRPr="000C0C2B">
      <w:rPr>
        <w:rFonts w:ascii="Times New Roman" w:hAnsi="Times New Roman"/>
        <w:b/>
        <w:sz w:val="24"/>
        <w:szCs w:val="24"/>
        <w:u w:val="single"/>
      </w:rPr>
      <w:tab/>
    </w:r>
    <w:r w:rsidR="00F325B5">
      <w:rPr>
        <w:rFonts w:ascii="Times New Roman" w:hAnsi="Times New Roman"/>
        <w:b/>
        <w:sz w:val="24"/>
        <w:szCs w:val="24"/>
        <w:u w:val="single"/>
      </w:rPr>
      <w:t>November</w:t>
    </w:r>
    <w:r w:rsidRPr="000C0C2B">
      <w:rPr>
        <w:rFonts w:ascii="Times New Roman" w:hAnsi="Times New Roman"/>
        <w:b/>
        <w:sz w:val="24"/>
        <w:szCs w:val="24"/>
        <w:u w:val="single"/>
      </w:rPr>
      <w:t>, 20</w:t>
    </w:r>
    <w:r w:rsidR="00C24DBA">
      <w:rPr>
        <w:rFonts w:ascii="Times New Roman" w:hAnsi="Times New Roman"/>
        <w:b/>
        <w:sz w:val="24"/>
        <w:szCs w:val="24"/>
        <w:u w:val="single"/>
      </w:rPr>
      <w:t>2</w:t>
    </w:r>
    <w:r w:rsidR="00B05548">
      <w:rPr>
        <w:rFonts w:ascii="Times New Roman" w:hAnsi="Times New Roman"/>
        <w:b/>
        <w:sz w:val="24"/>
        <w:szCs w:val="24"/>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9416C"/>
    <w:multiLevelType w:val="hybridMultilevel"/>
    <w:tmpl w:val="A47EE1A2"/>
    <w:lvl w:ilvl="0" w:tplc="EF04F8A0">
      <w:start w:val="3"/>
      <w:numFmt w:val="decimal"/>
      <w:lvlText w:val="%1."/>
      <w:lvlJc w:val="left"/>
      <w:pPr>
        <w:tabs>
          <w:tab w:val="num" w:pos="1656"/>
        </w:tabs>
        <w:ind w:left="1656" w:hanging="93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1C97098"/>
    <w:multiLevelType w:val="multilevel"/>
    <w:tmpl w:val="815C29DE"/>
    <w:lvl w:ilvl="0">
      <w:start w:val="1"/>
      <w:numFmt w:val="decimal"/>
      <w:lvlText w:val="%1."/>
      <w:lvlJc w:val="left"/>
      <w:pPr>
        <w:ind w:left="360" w:hanging="360"/>
      </w:pPr>
      <w:rPr>
        <w:rFonts w:ascii="Times New Roman" w:eastAsia="Times New Roman" w:hAnsi="Times New Roman" w:cs="Times New Roman"/>
        <w:color w:val="00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7D5E5940"/>
    <w:multiLevelType w:val="hybridMultilevel"/>
    <w:tmpl w:val="730E5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E5"/>
    <w:rsid w:val="00001773"/>
    <w:rsid w:val="0000534A"/>
    <w:rsid w:val="00012818"/>
    <w:rsid w:val="000166A6"/>
    <w:rsid w:val="0002200D"/>
    <w:rsid w:val="0002557E"/>
    <w:rsid w:val="0002605A"/>
    <w:rsid w:val="000278EB"/>
    <w:rsid w:val="00036981"/>
    <w:rsid w:val="00036BDD"/>
    <w:rsid w:val="000374E9"/>
    <w:rsid w:val="0004202A"/>
    <w:rsid w:val="00042760"/>
    <w:rsid w:val="00043E33"/>
    <w:rsid w:val="00056E32"/>
    <w:rsid w:val="000579C7"/>
    <w:rsid w:val="00062F7B"/>
    <w:rsid w:val="000702C0"/>
    <w:rsid w:val="00072F7C"/>
    <w:rsid w:val="00073E85"/>
    <w:rsid w:val="000815FD"/>
    <w:rsid w:val="0008744C"/>
    <w:rsid w:val="00087DC8"/>
    <w:rsid w:val="00094928"/>
    <w:rsid w:val="00097C9C"/>
    <w:rsid w:val="000A1B6F"/>
    <w:rsid w:val="000A70EC"/>
    <w:rsid w:val="000A7AED"/>
    <w:rsid w:val="000A7FF8"/>
    <w:rsid w:val="000C0C2B"/>
    <w:rsid w:val="000C2CCF"/>
    <w:rsid w:val="000D2A6B"/>
    <w:rsid w:val="000D71A3"/>
    <w:rsid w:val="000D760D"/>
    <w:rsid w:val="000F5F21"/>
    <w:rsid w:val="0010169D"/>
    <w:rsid w:val="0010223C"/>
    <w:rsid w:val="001055AA"/>
    <w:rsid w:val="00113186"/>
    <w:rsid w:val="001162B9"/>
    <w:rsid w:val="001166B8"/>
    <w:rsid w:val="0012694A"/>
    <w:rsid w:val="00130693"/>
    <w:rsid w:val="00131C5F"/>
    <w:rsid w:val="0013218A"/>
    <w:rsid w:val="00140638"/>
    <w:rsid w:val="001439ED"/>
    <w:rsid w:val="001441FA"/>
    <w:rsid w:val="001507B7"/>
    <w:rsid w:val="00154CE9"/>
    <w:rsid w:val="001562ED"/>
    <w:rsid w:val="00171DE2"/>
    <w:rsid w:val="0019060D"/>
    <w:rsid w:val="00191614"/>
    <w:rsid w:val="0019577C"/>
    <w:rsid w:val="001972B6"/>
    <w:rsid w:val="001A6505"/>
    <w:rsid w:val="001A6F8B"/>
    <w:rsid w:val="001B0CB7"/>
    <w:rsid w:val="001C45F5"/>
    <w:rsid w:val="001C6C6B"/>
    <w:rsid w:val="001D56FF"/>
    <w:rsid w:val="001E0187"/>
    <w:rsid w:val="001E1045"/>
    <w:rsid w:val="001E446E"/>
    <w:rsid w:val="001E76C4"/>
    <w:rsid w:val="001F6553"/>
    <w:rsid w:val="001F6874"/>
    <w:rsid w:val="001F7461"/>
    <w:rsid w:val="00204ADF"/>
    <w:rsid w:val="00210D14"/>
    <w:rsid w:val="0021295A"/>
    <w:rsid w:val="00212E4F"/>
    <w:rsid w:val="00216A92"/>
    <w:rsid w:val="00222D08"/>
    <w:rsid w:val="00224605"/>
    <w:rsid w:val="00231DBC"/>
    <w:rsid w:val="00233843"/>
    <w:rsid w:val="002349E5"/>
    <w:rsid w:val="00241046"/>
    <w:rsid w:val="00242324"/>
    <w:rsid w:val="00246186"/>
    <w:rsid w:val="002532CC"/>
    <w:rsid w:val="00254321"/>
    <w:rsid w:val="002556A6"/>
    <w:rsid w:val="002574DC"/>
    <w:rsid w:val="00257949"/>
    <w:rsid w:val="00257EC2"/>
    <w:rsid w:val="0027160B"/>
    <w:rsid w:val="00275539"/>
    <w:rsid w:val="00277249"/>
    <w:rsid w:val="00277BF6"/>
    <w:rsid w:val="00286C59"/>
    <w:rsid w:val="0028749D"/>
    <w:rsid w:val="00291F8D"/>
    <w:rsid w:val="00297F52"/>
    <w:rsid w:val="002A27B9"/>
    <w:rsid w:val="002A3F4A"/>
    <w:rsid w:val="002A7490"/>
    <w:rsid w:val="002C06BA"/>
    <w:rsid w:val="002C2C48"/>
    <w:rsid w:val="002D6F8C"/>
    <w:rsid w:val="002F7BBA"/>
    <w:rsid w:val="0030421E"/>
    <w:rsid w:val="003044F1"/>
    <w:rsid w:val="0030555F"/>
    <w:rsid w:val="00306311"/>
    <w:rsid w:val="00325428"/>
    <w:rsid w:val="00331431"/>
    <w:rsid w:val="00337854"/>
    <w:rsid w:val="00343BD4"/>
    <w:rsid w:val="00345797"/>
    <w:rsid w:val="00354420"/>
    <w:rsid w:val="003579C8"/>
    <w:rsid w:val="00364183"/>
    <w:rsid w:val="00364AC3"/>
    <w:rsid w:val="003719DA"/>
    <w:rsid w:val="00377232"/>
    <w:rsid w:val="0038300E"/>
    <w:rsid w:val="0038382E"/>
    <w:rsid w:val="003841A5"/>
    <w:rsid w:val="00390EE4"/>
    <w:rsid w:val="00393162"/>
    <w:rsid w:val="003959D1"/>
    <w:rsid w:val="00395B65"/>
    <w:rsid w:val="003966C8"/>
    <w:rsid w:val="00396BCA"/>
    <w:rsid w:val="003A5910"/>
    <w:rsid w:val="003B5DC7"/>
    <w:rsid w:val="003B7603"/>
    <w:rsid w:val="003C2C05"/>
    <w:rsid w:val="003C3B7A"/>
    <w:rsid w:val="003D0520"/>
    <w:rsid w:val="003D0CFC"/>
    <w:rsid w:val="003D5543"/>
    <w:rsid w:val="003F0269"/>
    <w:rsid w:val="003F1D9A"/>
    <w:rsid w:val="003F3078"/>
    <w:rsid w:val="004007F5"/>
    <w:rsid w:val="00404664"/>
    <w:rsid w:val="004143FB"/>
    <w:rsid w:val="00416757"/>
    <w:rsid w:val="00431867"/>
    <w:rsid w:val="00433BDB"/>
    <w:rsid w:val="004362DB"/>
    <w:rsid w:val="00442ADC"/>
    <w:rsid w:val="00443B8F"/>
    <w:rsid w:val="00444746"/>
    <w:rsid w:val="00447605"/>
    <w:rsid w:val="00463900"/>
    <w:rsid w:val="00464331"/>
    <w:rsid w:val="00465F5E"/>
    <w:rsid w:val="0047297B"/>
    <w:rsid w:val="00472D06"/>
    <w:rsid w:val="00475988"/>
    <w:rsid w:val="0047627E"/>
    <w:rsid w:val="0048123B"/>
    <w:rsid w:val="0048545A"/>
    <w:rsid w:val="00492D71"/>
    <w:rsid w:val="004A2170"/>
    <w:rsid w:val="004A3D62"/>
    <w:rsid w:val="004C5BE9"/>
    <w:rsid w:val="004D6348"/>
    <w:rsid w:val="004E08E4"/>
    <w:rsid w:val="004E640F"/>
    <w:rsid w:val="004F292C"/>
    <w:rsid w:val="004F5564"/>
    <w:rsid w:val="005011E6"/>
    <w:rsid w:val="00503B2D"/>
    <w:rsid w:val="00503BA2"/>
    <w:rsid w:val="00503F3D"/>
    <w:rsid w:val="00505619"/>
    <w:rsid w:val="005056E2"/>
    <w:rsid w:val="005079E5"/>
    <w:rsid w:val="005207E9"/>
    <w:rsid w:val="00526226"/>
    <w:rsid w:val="00533363"/>
    <w:rsid w:val="005403DD"/>
    <w:rsid w:val="00541985"/>
    <w:rsid w:val="00547D28"/>
    <w:rsid w:val="00560460"/>
    <w:rsid w:val="00566D31"/>
    <w:rsid w:val="00570DB4"/>
    <w:rsid w:val="00580DD4"/>
    <w:rsid w:val="00581964"/>
    <w:rsid w:val="005929BF"/>
    <w:rsid w:val="00596901"/>
    <w:rsid w:val="005A02AF"/>
    <w:rsid w:val="005B62FD"/>
    <w:rsid w:val="005C59A0"/>
    <w:rsid w:val="005C68F2"/>
    <w:rsid w:val="005D3F5F"/>
    <w:rsid w:val="005D6044"/>
    <w:rsid w:val="005D62EA"/>
    <w:rsid w:val="005E773A"/>
    <w:rsid w:val="005F2AF9"/>
    <w:rsid w:val="005F341A"/>
    <w:rsid w:val="005F3AA6"/>
    <w:rsid w:val="005F6E35"/>
    <w:rsid w:val="005F7C79"/>
    <w:rsid w:val="00614665"/>
    <w:rsid w:val="0061761E"/>
    <w:rsid w:val="0061789A"/>
    <w:rsid w:val="00623C75"/>
    <w:rsid w:val="00630D35"/>
    <w:rsid w:val="006310BC"/>
    <w:rsid w:val="006326AC"/>
    <w:rsid w:val="0063548A"/>
    <w:rsid w:val="00635EBE"/>
    <w:rsid w:val="00637DC8"/>
    <w:rsid w:val="00645AF9"/>
    <w:rsid w:val="006553E9"/>
    <w:rsid w:val="00657732"/>
    <w:rsid w:val="006747B8"/>
    <w:rsid w:val="00675D35"/>
    <w:rsid w:val="00677DE0"/>
    <w:rsid w:val="00683715"/>
    <w:rsid w:val="006A3019"/>
    <w:rsid w:val="006A4AE8"/>
    <w:rsid w:val="006A5204"/>
    <w:rsid w:val="006A53C7"/>
    <w:rsid w:val="006B2D8B"/>
    <w:rsid w:val="006E2A8E"/>
    <w:rsid w:val="006E470D"/>
    <w:rsid w:val="006E585D"/>
    <w:rsid w:val="006E5FE2"/>
    <w:rsid w:val="006E5FE5"/>
    <w:rsid w:val="006F42B5"/>
    <w:rsid w:val="006F53BB"/>
    <w:rsid w:val="006F5BEA"/>
    <w:rsid w:val="006F7530"/>
    <w:rsid w:val="00710AB9"/>
    <w:rsid w:val="00711D76"/>
    <w:rsid w:val="00712043"/>
    <w:rsid w:val="00713614"/>
    <w:rsid w:val="007146E0"/>
    <w:rsid w:val="0071785E"/>
    <w:rsid w:val="00721D5B"/>
    <w:rsid w:val="00726DD1"/>
    <w:rsid w:val="0072738F"/>
    <w:rsid w:val="00734907"/>
    <w:rsid w:val="00736942"/>
    <w:rsid w:val="00737C5D"/>
    <w:rsid w:val="007460EB"/>
    <w:rsid w:val="007513F5"/>
    <w:rsid w:val="00752BF6"/>
    <w:rsid w:val="00764EB0"/>
    <w:rsid w:val="00765D71"/>
    <w:rsid w:val="0077252A"/>
    <w:rsid w:val="0077607C"/>
    <w:rsid w:val="007827AB"/>
    <w:rsid w:val="0078605B"/>
    <w:rsid w:val="0079087D"/>
    <w:rsid w:val="007943BB"/>
    <w:rsid w:val="007A1C46"/>
    <w:rsid w:val="007A7A88"/>
    <w:rsid w:val="007B1E5B"/>
    <w:rsid w:val="007B4240"/>
    <w:rsid w:val="007B71D0"/>
    <w:rsid w:val="007C11EF"/>
    <w:rsid w:val="007C3FAD"/>
    <w:rsid w:val="007C42D1"/>
    <w:rsid w:val="007C4D38"/>
    <w:rsid w:val="007C6426"/>
    <w:rsid w:val="007C7315"/>
    <w:rsid w:val="007D1E09"/>
    <w:rsid w:val="007D452B"/>
    <w:rsid w:val="007D59D5"/>
    <w:rsid w:val="007D73BB"/>
    <w:rsid w:val="007E1228"/>
    <w:rsid w:val="007E462B"/>
    <w:rsid w:val="007E66E4"/>
    <w:rsid w:val="007E75B2"/>
    <w:rsid w:val="007F6F4C"/>
    <w:rsid w:val="007F7F88"/>
    <w:rsid w:val="008052BE"/>
    <w:rsid w:val="00807126"/>
    <w:rsid w:val="00822107"/>
    <w:rsid w:val="00822F10"/>
    <w:rsid w:val="008247E0"/>
    <w:rsid w:val="00825732"/>
    <w:rsid w:val="00825F32"/>
    <w:rsid w:val="00832832"/>
    <w:rsid w:val="00837748"/>
    <w:rsid w:val="00840150"/>
    <w:rsid w:val="0084319F"/>
    <w:rsid w:val="00844F97"/>
    <w:rsid w:val="0084597B"/>
    <w:rsid w:val="00851C0D"/>
    <w:rsid w:val="00854DA9"/>
    <w:rsid w:val="00857392"/>
    <w:rsid w:val="008625C8"/>
    <w:rsid w:val="00863012"/>
    <w:rsid w:val="008630B6"/>
    <w:rsid w:val="008641FE"/>
    <w:rsid w:val="00865292"/>
    <w:rsid w:val="00865EFF"/>
    <w:rsid w:val="00866B34"/>
    <w:rsid w:val="00873BAA"/>
    <w:rsid w:val="00877901"/>
    <w:rsid w:val="008804BD"/>
    <w:rsid w:val="008810D6"/>
    <w:rsid w:val="008905FE"/>
    <w:rsid w:val="00892BA0"/>
    <w:rsid w:val="008970AB"/>
    <w:rsid w:val="008B435B"/>
    <w:rsid w:val="008B6AE7"/>
    <w:rsid w:val="008B7A6B"/>
    <w:rsid w:val="008C2762"/>
    <w:rsid w:val="008C573D"/>
    <w:rsid w:val="008C6006"/>
    <w:rsid w:val="008D2878"/>
    <w:rsid w:val="008E1EFC"/>
    <w:rsid w:val="008F013F"/>
    <w:rsid w:val="008F0A20"/>
    <w:rsid w:val="008F3AF7"/>
    <w:rsid w:val="008F6D21"/>
    <w:rsid w:val="009051A7"/>
    <w:rsid w:val="00912B25"/>
    <w:rsid w:val="00915D47"/>
    <w:rsid w:val="00921D73"/>
    <w:rsid w:val="00930624"/>
    <w:rsid w:val="00952C17"/>
    <w:rsid w:val="009607DA"/>
    <w:rsid w:val="009633E3"/>
    <w:rsid w:val="0096403A"/>
    <w:rsid w:val="0096591A"/>
    <w:rsid w:val="00971AD6"/>
    <w:rsid w:val="0097362C"/>
    <w:rsid w:val="00973B8A"/>
    <w:rsid w:val="009A3009"/>
    <w:rsid w:val="009B08B5"/>
    <w:rsid w:val="009B0E79"/>
    <w:rsid w:val="009B3DC2"/>
    <w:rsid w:val="009B4297"/>
    <w:rsid w:val="009B531A"/>
    <w:rsid w:val="009E039B"/>
    <w:rsid w:val="009F2BCB"/>
    <w:rsid w:val="00A10346"/>
    <w:rsid w:val="00A1206B"/>
    <w:rsid w:val="00A17236"/>
    <w:rsid w:val="00A21EBF"/>
    <w:rsid w:val="00A25A4F"/>
    <w:rsid w:val="00A434B0"/>
    <w:rsid w:val="00A61F2B"/>
    <w:rsid w:val="00A64D5B"/>
    <w:rsid w:val="00A67E10"/>
    <w:rsid w:val="00A70DB7"/>
    <w:rsid w:val="00A75D25"/>
    <w:rsid w:val="00A9422A"/>
    <w:rsid w:val="00A9742B"/>
    <w:rsid w:val="00AA3843"/>
    <w:rsid w:val="00AA3C4B"/>
    <w:rsid w:val="00AA3DFA"/>
    <w:rsid w:val="00AA40D8"/>
    <w:rsid w:val="00AA756A"/>
    <w:rsid w:val="00AB2875"/>
    <w:rsid w:val="00AB3628"/>
    <w:rsid w:val="00AC232F"/>
    <w:rsid w:val="00AC2E36"/>
    <w:rsid w:val="00AC50C1"/>
    <w:rsid w:val="00AD6169"/>
    <w:rsid w:val="00AE2538"/>
    <w:rsid w:val="00B05548"/>
    <w:rsid w:val="00B05F2B"/>
    <w:rsid w:val="00B10D9A"/>
    <w:rsid w:val="00B13A72"/>
    <w:rsid w:val="00B1755C"/>
    <w:rsid w:val="00B229D0"/>
    <w:rsid w:val="00B24D17"/>
    <w:rsid w:val="00B2779D"/>
    <w:rsid w:val="00B341EF"/>
    <w:rsid w:val="00B3798A"/>
    <w:rsid w:val="00B41FFD"/>
    <w:rsid w:val="00B42525"/>
    <w:rsid w:val="00B441B3"/>
    <w:rsid w:val="00B444CE"/>
    <w:rsid w:val="00B44C0E"/>
    <w:rsid w:val="00B47C14"/>
    <w:rsid w:val="00B54541"/>
    <w:rsid w:val="00B5484E"/>
    <w:rsid w:val="00B62091"/>
    <w:rsid w:val="00B65F44"/>
    <w:rsid w:val="00B70F24"/>
    <w:rsid w:val="00B74A65"/>
    <w:rsid w:val="00B77E80"/>
    <w:rsid w:val="00B86DC0"/>
    <w:rsid w:val="00B87894"/>
    <w:rsid w:val="00B96BF4"/>
    <w:rsid w:val="00BA0AF7"/>
    <w:rsid w:val="00BA369C"/>
    <w:rsid w:val="00BA7F28"/>
    <w:rsid w:val="00BB00C4"/>
    <w:rsid w:val="00BB2B2D"/>
    <w:rsid w:val="00BB6217"/>
    <w:rsid w:val="00BC35D0"/>
    <w:rsid w:val="00BD1B5B"/>
    <w:rsid w:val="00BD1DE0"/>
    <w:rsid w:val="00BD6BF3"/>
    <w:rsid w:val="00BE06B5"/>
    <w:rsid w:val="00BE4466"/>
    <w:rsid w:val="00BF2FFA"/>
    <w:rsid w:val="00C176BB"/>
    <w:rsid w:val="00C244DC"/>
    <w:rsid w:val="00C24DBA"/>
    <w:rsid w:val="00C279A0"/>
    <w:rsid w:val="00C313D4"/>
    <w:rsid w:val="00C356FC"/>
    <w:rsid w:val="00C46D7B"/>
    <w:rsid w:val="00C526A1"/>
    <w:rsid w:val="00C5560D"/>
    <w:rsid w:val="00C5638B"/>
    <w:rsid w:val="00C61B25"/>
    <w:rsid w:val="00C63953"/>
    <w:rsid w:val="00C70D21"/>
    <w:rsid w:val="00C87DAA"/>
    <w:rsid w:val="00C904BD"/>
    <w:rsid w:val="00C95A3A"/>
    <w:rsid w:val="00CA0857"/>
    <w:rsid w:val="00CA473A"/>
    <w:rsid w:val="00CA7666"/>
    <w:rsid w:val="00CA7893"/>
    <w:rsid w:val="00CB0848"/>
    <w:rsid w:val="00CB223C"/>
    <w:rsid w:val="00CC6EA3"/>
    <w:rsid w:val="00CD535A"/>
    <w:rsid w:val="00CD7A4F"/>
    <w:rsid w:val="00CE5D27"/>
    <w:rsid w:val="00CF3793"/>
    <w:rsid w:val="00D01C0F"/>
    <w:rsid w:val="00D20638"/>
    <w:rsid w:val="00D242E8"/>
    <w:rsid w:val="00D24869"/>
    <w:rsid w:val="00D30D67"/>
    <w:rsid w:val="00D315DE"/>
    <w:rsid w:val="00D33210"/>
    <w:rsid w:val="00D35AC9"/>
    <w:rsid w:val="00D3679F"/>
    <w:rsid w:val="00D40AE3"/>
    <w:rsid w:val="00D55DEB"/>
    <w:rsid w:val="00D63CC2"/>
    <w:rsid w:val="00D64264"/>
    <w:rsid w:val="00D7051C"/>
    <w:rsid w:val="00D75D4D"/>
    <w:rsid w:val="00D763B3"/>
    <w:rsid w:val="00D847D9"/>
    <w:rsid w:val="00D92EF3"/>
    <w:rsid w:val="00D95ECB"/>
    <w:rsid w:val="00D96075"/>
    <w:rsid w:val="00DC60A1"/>
    <w:rsid w:val="00DC610E"/>
    <w:rsid w:val="00DD0AD7"/>
    <w:rsid w:val="00DD2ECA"/>
    <w:rsid w:val="00DD508D"/>
    <w:rsid w:val="00DD77C0"/>
    <w:rsid w:val="00DE0B24"/>
    <w:rsid w:val="00DE75CE"/>
    <w:rsid w:val="00DF506A"/>
    <w:rsid w:val="00DF5C5B"/>
    <w:rsid w:val="00E00FD7"/>
    <w:rsid w:val="00E02CF1"/>
    <w:rsid w:val="00E0390B"/>
    <w:rsid w:val="00E041BA"/>
    <w:rsid w:val="00E158BB"/>
    <w:rsid w:val="00E1596F"/>
    <w:rsid w:val="00E21E4C"/>
    <w:rsid w:val="00E22256"/>
    <w:rsid w:val="00E34B17"/>
    <w:rsid w:val="00E35BC1"/>
    <w:rsid w:val="00E4192A"/>
    <w:rsid w:val="00E444DC"/>
    <w:rsid w:val="00E452A8"/>
    <w:rsid w:val="00E46EE4"/>
    <w:rsid w:val="00E473D3"/>
    <w:rsid w:val="00E5183C"/>
    <w:rsid w:val="00E518D1"/>
    <w:rsid w:val="00E546C6"/>
    <w:rsid w:val="00E559E2"/>
    <w:rsid w:val="00E60199"/>
    <w:rsid w:val="00E6262E"/>
    <w:rsid w:val="00E644A6"/>
    <w:rsid w:val="00E778F6"/>
    <w:rsid w:val="00E87B20"/>
    <w:rsid w:val="00E929F4"/>
    <w:rsid w:val="00E961DC"/>
    <w:rsid w:val="00E97681"/>
    <w:rsid w:val="00EA0EE1"/>
    <w:rsid w:val="00EA2317"/>
    <w:rsid w:val="00EA4C79"/>
    <w:rsid w:val="00EB6128"/>
    <w:rsid w:val="00EC3547"/>
    <w:rsid w:val="00EC5722"/>
    <w:rsid w:val="00EC7641"/>
    <w:rsid w:val="00ED0752"/>
    <w:rsid w:val="00ED16D0"/>
    <w:rsid w:val="00ED47FB"/>
    <w:rsid w:val="00ED5A12"/>
    <w:rsid w:val="00ED75F3"/>
    <w:rsid w:val="00EE2212"/>
    <w:rsid w:val="00EE36A7"/>
    <w:rsid w:val="00EE537F"/>
    <w:rsid w:val="00EF6B19"/>
    <w:rsid w:val="00F02819"/>
    <w:rsid w:val="00F07852"/>
    <w:rsid w:val="00F07D4F"/>
    <w:rsid w:val="00F15A4C"/>
    <w:rsid w:val="00F15D6E"/>
    <w:rsid w:val="00F16747"/>
    <w:rsid w:val="00F273B5"/>
    <w:rsid w:val="00F325B5"/>
    <w:rsid w:val="00F476C5"/>
    <w:rsid w:val="00F51909"/>
    <w:rsid w:val="00F57219"/>
    <w:rsid w:val="00F600C5"/>
    <w:rsid w:val="00F73E3D"/>
    <w:rsid w:val="00F7573D"/>
    <w:rsid w:val="00F75E27"/>
    <w:rsid w:val="00F77482"/>
    <w:rsid w:val="00F77F79"/>
    <w:rsid w:val="00FA3301"/>
    <w:rsid w:val="00FA691F"/>
    <w:rsid w:val="00FA7A90"/>
    <w:rsid w:val="00FB49FE"/>
    <w:rsid w:val="00FD214C"/>
    <w:rsid w:val="00FD4855"/>
    <w:rsid w:val="00FD6562"/>
    <w:rsid w:val="00FD7E5C"/>
    <w:rsid w:val="00FE09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italic">
    <w:name w:val="html-italic"/>
    <w:basedOn w:val="DefaultParagraphFont"/>
    <w:rsid w:val="00AC232F"/>
  </w:style>
  <w:style w:type="character" w:styleId="Hyperlink">
    <w:name w:val="Hyperlink"/>
    <w:rsid w:val="001A6505"/>
    <w:rPr>
      <w:color w:val="0033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italic">
    <w:name w:val="html-italic"/>
    <w:basedOn w:val="DefaultParagraphFont"/>
    <w:rsid w:val="00AC232F"/>
  </w:style>
  <w:style w:type="character" w:styleId="Hyperlink">
    <w:name w:val="Hyperlink"/>
    <w:rsid w:val="001A6505"/>
    <w:rPr>
      <w:color w:val="0033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rajmalam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3169</Words>
  <Characters>18067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dsu</dc:creator>
  <cp:keywords/>
  <cp:lastModifiedBy>PA2SS</cp:lastModifiedBy>
  <cp:revision>213</cp:revision>
  <dcterms:created xsi:type="dcterms:W3CDTF">2022-10-23T12:47:00Z</dcterms:created>
  <dcterms:modified xsi:type="dcterms:W3CDTF">2022-12-13T11:26:00Z</dcterms:modified>
</cp:coreProperties>
</file>